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BF221B" w:rsidR="00130241" w:rsidRDefault="001C3C53" w:rsidP="00103DDD">
      <w:pPr>
        <w:pBdr>
          <w:top w:val="nil"/>
          <w:left w:val="nil"/>
          <w:bottom w:val="nil"/>
          <w:right w:val="nil"/>
          <w:between w:val="nil"/>
        </w:pBdr>
        <w:shd w:val="clear" w:color="auto" w:fill="FFFFFF"/>
        <w:jc w:val="center"/>
        <w:rPr>
          <w:color w:val="000000"/>
        </w:rPr>
      </w:pPr>
      <w:r>
        <w:rPr>
          <w:b/>
          <w:color w:val="000000"/>
        </w:rPr>
        <w:t xml:space="preserve">Наночастицы ПЛГА </w:t>
      </w:r>
      <w:r w:rsidR="00103DDD">
        <w:rPr>
          <w:b/>
          <w:color w:val="000000"/>
        </w:rPr>
        <w:t xml:space="preserve">для </w:t>
      </w:r>
      <w:r>
        <w:rPr>
          <w:b/>
          <w:color w:val="000000"/>
        </w:rPr>
        <w:t xml:space="preserve">комбинированной </w:t>
      </w:r>
      <w:r w:rsidR="00103DDD">
        <w:rPr>
          <w:b/>
          <w:color w:val="000000"/>
        </w:rPr>
        <w:t>терапии рака молочной железы</w:t>
      </w:r>
    </w:p>
    <w:p w14:paraId="00000002" w14:textId="3BCE8C24" w:rsidR="00130241" w:rsidRDefault="006165C7">
      <w:pPr>
        <w:pBdr>
          <w:top w:val="nil"/>
          <w:left w:val="nil"/>
          <w:bottom w:val="nil"/>
          <w:right w:val="nil"/>
          <w:between w:val="nil"/>
        </w:pBdr>
        <w:shd w:val="clear" w:color="auto" w:fill="FFFFFF"/>
        <w:jc w:val="center"/>
        <w:rPr>
          <w:color w:val="000000"/>
        </w:rPr>
      </w:pPr>
      <w:r w:rsidRPr="00305ACB">
        <w:rPr>
          <w:b/>
          <w:i/>
          <w:color w:val="000000"/>
        </w:rPr>
        <w:t>Гуляев И.А.,</w:t>
      </w:r>
      <w:r w:rsidRPr="00305ACB">
        <w:rPr>
          <w:b/>
          <w:i/>
          <w:color w:val="000000"/>
          <w:vertAlign w:val="superscript"/>
        </w:rPr>
        <w:t>1,2</w:t>
      </w:r>
      <w:r w:rsidRPr="00305ACB">
        <w:rPr>
          <w:b/>
          <w:i/>
          <w:color w:val="000000"/>
        </w:rPr>
        <w:t xml:space="preserve"> </w:t>
      </w:r>
      <w:r w:rsidR="00103DDD" w:rsidRPr="00305ACB">
        <w:rPr>
          <w:b/>
          <w:i/>
          <w:color w:val="000000"/>
        </w:rPr>
        <w:t>Сокол</w:t>
      </w:r>
      <w:r w:rsidR="00EB1F49" w:rsidRPr="00305ACB">
        <w:rPr>
          <w:b/>
          <w:i/>
          <w:color w:val="000000"/>
        </w:rPr>
        <w:t xml:space="preserve"> </w:t>
      </w:r>
      <w:r w:rsidR="00103DDD" w:rsidRPr="00305ACB">
        <w:rPr>
          <w:b/>
          <w:i/>
          <w:color w:val="000000"/>
        </w:rPr>
        <w:t>М</w:t>
      </w:r>
      <w:r w:rsidRPr="00305ACB">
        <w:rPr>
          <w:b/>
          <w:i/>
          <w:color w:val="000000"/>
        </w:rPr>
        <w:t>.Б.,</w:t>
      </w:r>
      <w:r w:rsidR="003B76D6" w:rsidRPr="00305ACB">
        <w:rPr>
          <w:b/>
          <w:i/>
          <w:color w:val="000000"/>
          <w:vertAlign w:val="superscript"/>
        </w:rPr>
        <w:t>1</w:t>
      </w:r>
      <w:r w:rsidR="00EB1F49" w:rsidRPr="00305ACB">
        <w:rPr>
          <w:b/>
          <w:i/>
          <w:color w:val="000000"/>
        </w:rPr>
        <w:t xml:space="preserve"> </w:t>
      </w:r>
      <w:proofErr w:type="spellStart"/>
      <w:r w:rsidRPr="00305ACB">
        <w:rPr>
          <w:b/>
          <w:i/>
          <w:color w:val="000000"/>
        </w:rPr>
        <w:t>Моллаева</w:t>
      </w:r>
      <w:proofErr w:type="spellEnd"/>
      <w:r w:rsidRPr="00305ACB">
        <w:rPr>
          <w:b/>
          <w:i/>
          <w:color w:val="000000"/>
        </w:rPr>
        <w:t xml:space="preserve"> М.Р.,</w:t>
      </w:r>
      <w:r w:rsidRPr="00305ACB">
        <w:rPr>
          <w:b/>
          <w:i/>
          <w:color w:val="000000"/>
          <w:vertAlign w:val="superscript"/>
        </w:rPr>
        <w:t>1</w:t>
      </w:r>
      <w:r w:rsidRPr="00305ACB">
        <w:rPr>
          <w:b/>
          <w:i/>
          <w:color w:val="000000"/>
        </w:rPr>
        <w:t xml:space="preserve"> Клименко М.А.,</w:t>
      </w:r>
      <w:r w:rsidRPr="00305ACB">
        <w:rPr>
          <w:b/>
          <w:i/>
          <w:color w:val="000000"/>
          <w:vertAlign w:val="superscript"/>
        </w:rPr>
        <w:t>1</w:t>
      </w:r>
      <w:r w:rsidR="00F66D10">
        <w:rPr>
          <w:b/>
          <w:i/>
          <w:color w:val="000000"/>
          <w:vertAlign w:val="superscript"/>
        </w:rPr>
        <w:t>,2</w:t>
      </w:r>
      <w:r w:rsidRPr="00305ACB">
        <w:rPr>
          <w:b/>
          <w:i/>
          <w:color w:val="000000"/>
        </w:rPr>
        <w:t xml:space="preserve"> </w:t>
      </w:r>
      <w:proofErr w:type="spellStart"/>
      <w:r w:rsidRPr="00305ACB">
        <w:rPr>
          <w:b/>
          <w:i/>
          <w:color w:val="000000"/>
        </w:rPr>
        <w:t>Яббаров</w:t>
      </w:r>
      <w:proofErr w:type="spellEnd"/>
      <w:r w:rsidRPr="00305ACB">
        <w:rPr>
          <w:b/>
          <w:i/>
          <w:color w:val="000000"/>
        </w:rPr>
        <w:t xml:space="preserve"> Н.Г.,</w:t>
      </w:r>
      <w:r w:rsidRPr="00305ACB">
        <w:rPr>
          <w:b/>
          <w:i/>
          <w:color w:val="000000"/>
          <w:vertAlign w:val="superscript"/>
        </w:rPr>
        <w:t>1</w:t>
      </w:r>
      <w:r w:rsidRPr="00305ACB">
        <w:rPr>
          <w:b/>
          <w:i/>
          <w:color w:val="000000"/>
        </w:rPr>
        <w:t xml:space="preserve"> Чиркина М.В.,</w:t>
      </w:r>
      <w:r w:rsidRPr="00305ACB">
        <w:rPr>
          <w:b/>
          <w:i/>
          <w:color w:val="000000"/>
          <w:vertAlign w:val="superscript"/>
        </w:rPr>
        <w:t>1</w:t>
      </w:r>
      <w:r w:rsidRPr="00305ACB">
        <w:rPr>
          <w:b/>
          <w:i/>
          <w:color w:val="000000"/>
        </w:rPr>
        <w:t xml:space="preserve"> Никольская Е.Д.</w:t>
      </w:r>
      <w:r w:rsidR="0043604D" w:rsidRPr="00BD7FAE">
        <w:rPr>
          <w:b/>
          <w:i/>
          <w:color w:val="000000"/>
          <w:vertAlign w:val="superscript"/>
        </w:rPr>
        <w:t xml:space="preserve"> </w:t>
      </w:r>
      <w:r w:rsidRPr="00BD7FAE">
        <w:rPr>
          <w:b/>
          <w:i/>
          <w:color w:val="000000"/>
          <w:vertAlign w:val="superscript"/>
        </w:rPr>
        <w:t>1</w:t>
      </w:r>
      <w:r w:rsidRPr="00BF4622">
        <w:rPr>
          <w:b/>
          <w:color w:val="000000"/>
        </w:rPr>
        <w:t xml:space="preserve"> </w:t>
      </w:r>
    </w:p>
    <w:p w14:paraId="00000003" w14:textId="432B0B12"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4 курс специалитета </w:t>
      </w:r>
    </w:p>
    <w:p w14:paraId="00000005" w14:textId="3627F101" w:rsidR="00130241" w:rsidRPr="00C42C52" w:rsidRDefault="00EB1F49" w:rsidP="00305ACB">
      <w:pPr>
        <w:pBdr>
          <w:top w:val="nil"/>
          <w:left w:val="nil"/>
          <w:bottom w:val="nil"/>
          <w:right w:val="nil"/>
          <w:between w:val="nil"/>
        </w:pBdr>
        <w:shd w:val="clear" w:color="auto" w:fill="FFFFFF"/>
        <w:jc w:val="center"/>
        <w:rPr>
          <w:color w:val="000000"/>
        </w:rPr>
      </w:pPr>
      <w:r>
        <w:rPr>
          <w:i/>
          <w:color w:val="000000"/>
          <w:vertAlign w:val="superscript"/>
        </w:rPr>
        <w:t>1</w:t>
      </w:r>
      <w:r w:rsidR="00305ACB" w:rsidRPr="00C42C52">
        <w:rPr>
          <w:i/>
          <w:color w:val="000000"/>
        </w:rPr>
        <w:t xml:space="preserve">Институт Биохимической Физики им. Н.М. Эмануэля РАН, лаборатория количественной онкологии, Москва, Россия </w:t>
      </w:r>
    </w:p>
    <w:p w14:paraId="00000007" w14:textId="080227EC" w:rsidR="00130241" w:rsidRDefault="00EB1F49" w:rsidP="00F66D10">
      <w:pPr>
        <w:pBdr>
          <w:top w:val="nil"/>
          <w:left w:val="nil"/>
          <w:bottom w:val="nil"/>
          <w:right w:val="nil"/>
          <w:between w:val="nil"/>
        </w:pBdr>
        <w:shd w:val="clear" w:color="auto" w:fill="FFFFFF"/>
        <w:jc w:val="center"/>
        <w:rPr>
          <w:color w:val="000000"/>
        </w:rPr>
      </w:pPr>
      <w:r>
        <w:rPr>
          <w:i/>
          <w:color w:val="000000"/>
          <w:vertAlign w:val="superscript"/>
        </w:rPr>
        <w:t>2</w:t>
      </w:r>
      <w:r w:rsidR="00305ACB">
        <w:rPr>
          <w:i/>
          <w:color w:val="000000"/>
        </w:rPr>
        <w:t xml:space="preserve">Российский </w:t>
      </w:r>
      <w:r w:rsidR="00C93EDA">
        <w:rPr>
          <w:i/>
          <w:color w:val="000000"/>
        </w:rPr>
        <w:t>химико-технологический университет им. Д.И. Менделеева, факультет химико-фармацевтических технологий и биомедицинских препаратов</w:t>
      </w:r>
      <w:r w:rsidR="00391C38">
        <w:rPr>
          <w:i/>
          <w:color w:val="000000"/>
        </w:rPr>
        <w:t xml:space="preserve">, </w:t>
      </w:r>
      <w:r w:rsidR="00C93EDA">
        <w:rPr>
          <w:i/>
          <w:color w:val="000000"/>
        </w:rPr>
        <w:t>Москва</w:t>
      </w:r>
      <w:r w:rsidR="00BF36F8">
        <w:rPr>
          <w:i/>
          <w:color w:val="000000"/>
        </w:rPr>
        <w:t>, Россия</w:t>
      </w:r>
    </w:p>
    <w:p w14:paraId="00000008" w14:textId="47F5374F" w:rsidR="00130241" w:rsidRPr="00BD7FAE" w:rsidRDefault="00EB1F49">
      <w:pPr>
        <w:pBdr>
          <w:top w:val="nil"/>
          <w:left w:val="nil"/>
          <w:bottom w:val="nil"/>
          <w:right w:val="nil"/>
          <w:between w:val="nil"/>
        </w:pBdr>
        <w:shd w:val="clear" w:color="auto" w:fill="FFFFFF"/>
        <w:jc w:val="center"/>
        <w:rPr>
          <w:color w:val="000000"/>
          <w:lang w:val="en-US"/>
        </w:rPr>
      </w:pPr>
      <w:r w:rsidRPr="00F66D10">
        <w:rPr>
          <w:i/>
          <w:color w:val="000000"/>
          <w:lang w:val="en-US"/>
        </w:rPr>
        <w:t>E</w:t>
      </w:r>
      <w:r w:rsidR="003B76D6" w:rsidRPr="00F66D10">
        <w:rPr>
          <w:i/>
          <w:color w:val="000000"/>
          <w:lang w:val="en-US"/>
        </w:rPr>
        <w:t>-</w:t>
      </w:r>
      <w:r w:rsidRPr="00F66D10">
        <w:rPr>
          <w:i/>
          <w:color w:val="000000"/>
          <w:lang w:val="en-US"/>
        </w:rPr>
        <w:t xml:space="preserve">mail: </w:t>
      </w:r>
      <w:hyperlink r:id="rId6" w:history="1">
        <w:r w:rsidR="00BD7FAE" w:rsidRPr="008064F7">
          <w:rPr>
            <w:rStyle w:val="a9"/>
            <w:i/>
            <w:lang w:val="en-US"/>
          </w:rPr>
          <w:t>Gulyaev.I.A@yandex.ru</w:t>
        </w:r>
      </w:hyperlink>
      <w:r w:rsidR="00BD7FAE" w:rsidRPr="00BD7FAE">
        <w:rPr>
          <w:i/>
          <w:color w:val="000000"/>
          <w:u w:val="single"/>
          <w:lang w:val="en-US"/>
        </w:rPr>
        <w:t xml:space="preserve"> </w:t>
      </w:r>
    </w:p>
    <w:p w14:paraId="4725F4E6" w14:textId="4C6AC821" w:rsidR="0043604D" w:rsidRPr="00BA4FFD" w:rsidRDefault="0043604D" w:rsidP="002264EE">
      <w:pPr>
        <w:pBdr>
          <w:top w:val="nil"/>
          <w:left w:val="nil"/>
          <w:bottom w:val="nil"/>
          <w:right w:val="nil"/>
          <w:between w:val="nil"/>
        </w:pBdr>
        <w:shd w:val="clear" w:color="auto" w:fill="FFFFFF"/>
        <w:ind w:firstLine="397"/>
        <w:jc w:val="both"/>
        <w:rPr>
          <w:color w:val="000000"/>
        </w:rPr>
      </w:pPr>
      <w:r w:rsidRPr="0043604D">
        <w:rPr>
          <w:color w:val="000000"/>
        </w:rPr>
        <w:t xml:space="preserve">Рак молочной железы </w:t>
      </w:r>
      <w:r w:rsidR="00BA4FFD">
        <w:rPr>
          <w:color w:val="000000"/>
        </w:rPr>
        <w:t>—</w:t>
      </w:r>
      <w:r w:rsidR="00BD7FAE">
        <w:rPr>
          <w:color w:val="000000"/>
        </w:rPr>
        <w:t xml:space="preserve"> </w:t>
      </w:r>
      <w:r w:rsidRPr="0043604D">
        <w:rPr>
          <w:color w:val="000000"/>
        </w:rPr>
        <w:t>заболевание, лечение которого осложняется</w:t>
      </w:r>
      <w:r w:rsidR="00651B62">
        <w:rPr>
          <w:color w:val="000000"/>
        </w:rPr>
        <w:t xml:space="preserve"> высоким риском</w:t>
      </w:r>
      <w:r w:rsidRPr="0043604D">
        <w:rPr>
          <w:color w:val="000000"/>
        </w:rPr>
        <w:t xml:space="preserve"> возникновением множестве</w:t>
      </w:r>
      <w:r w:rsidR="00651B62">
        <w:rPr>
          <w:color w:val="000000"/>
        </w:rPr>
        <w:t xml:space="preserve">нной лекарственной устойчивости после проведения стандартной </w:t>
      </w:r>
      <w:proofErr w:type="spellStart"/>
      <w:r w:rsidR="00651B62">
        <w:t>неоадъювантной</w:t>
      </w:r>
      <w:proofErr w:type="spellEnd"/>
      <w:r w:rsidR="00651B62">
        <w:t xml:space="preserve"> терапии</w:t>
      </w:r>
      <w:r w:rsidRPr="0043604D">
        <w:rPr>
          <w:color w:val="000000"/>
        </w:rPr>
        <w:t>.</w:t>
      </w:r>
      <w:r>
        <w:rPr>
          <w:color w:val="000000"/>
        </w:rPr>
        <w:t xml:space="preserve"> </w:t>
      </w:r>
      <w:r w:rsidRPr="0043604D">
        <w:rPr>
          <w:color w:val="000000"/>
        </w:rPr>
        <w:t>Для преодоления резистентности</w:t>
      </w:r>
      <w:r w:rsidR="00BD7FAE">
        <w:rPr>
          <w:color w:val="000000"/>
        </w:rPr>
        <w:t>,</w:t>
      </w:r>
      <w:r w:rsidRPr="0043604D">
        <w:rPr>
          <w:color w:val="000000"/>
        </w:rPr>
        <w:t xml:space="preserve"> </w:t>
      </w:r>
      <w:r w:rsidR="00651B62">
        <w:rPr>
          <w:color w:val="000000"/>
        </w:rPr>
        <w:t>возможно</w:t>
      </w:r>
      <w:r w:rsidRPr="0043604D">
        <w:rPr>
          <w:color w:val="000000"/>
        </w:rPr>
        <w:t xml:space="preserve"> использовать комбинированную терапию и</w:t>
      </w:r>
      <w:r w:rsidR="00651B62">
        <w:rPr>
          <w:color w:val="000000"/>
        </w:rPr>
        <w:t xml:space="preserve"> </w:t>
      </w:r>
      <w:proofErr w:type="spellStart"/>
      <w:r w:rsidR="00651B62">
        <w:rPr>
          <w:color w:val="000000"/>
        </w:rPr>
        <w:t>наноразмерные</w:t>
      </w:r>
      <w:proofErr w:type="spellEnd"/>
      <w:r w:rsidRPr="0043604D">
        <w:rPr>
          <w:color w:val="000000"/>
        </w:rPr>
        <w:t xml:space="preserve"> системы доставки лекарств</w:t>
      </w:r>
      <w:r>
        <w:rPr>
          <w:color w:val="000000"/>
        </w:rPr>
        <w:t>енных средств</w:t>
      </w:r>
      <w:r w:rsidR="00BA4FFD" w:rsidRPr="00BA4FFD">
        <w:rPr>
          <w:color w:val="000000"/>
        </w:rPr>
        <w:t>.</w:t>
      </w:r>
    </w:p>
    <w:p w14:paraId="3340CC2A" w14:textId="2D146062" w:rsidR="00651B62" w:rsidRDefault="00651B62" w:rsidP="002264EE">
      <w:pPr>
        <w:pBdr>
          <w:top w:val="nil"/>
          <w:left w:val="nil"/>
          <w:bottom w:val="nil"/>
          <w:right w:val="nil"/>
          <w:between w:val="nil"/>
        </w:pBdr>
        <w:shd w:val="clear" w:color="auto" w:fill="FFFFFF"/>
        <w:ind w:firstLine="397"/>
        <w:jc w:val="both"/>
        <w:rPr>
          <w:color w:val="000000"/>
        </w:rPr>
      </w:pPr>
      <w:r w:rsidRPr="00651B62">
        <w:rPr>
          <w:color w:val="000000"/>
        </w:rPr>
        <w:t xml:space="preserve">В ходе </w:t>
      </w:r>
      <w:r w:rsidR="00192E10">
        <w:rPr>
          <w:color w:val="000000"/>
          <w:lang w:val="en-US"/>
        </w:rPr>
        <w:t>I</w:t>
      </w:r>
      <w:r w:rsidR="00192E10" w:rsidRPr="00192E10">
        <w:rPr>
          <w:color w:val="000000"/>
        </w:rPr>
        <w:t xml:space="preserve"> </w:t>
      </w:r>
      <w:r w:rsidRPr="00651B62">
        <w:rPr>
          <w:color w:val="000000"/>
        </w:rPr>
        <w:t>фазы</w:t>
      </w:r>
      <w:r>
        <w:rPr>
          <w:color w:val="000000"/>
        </w:rPr>
        <w:t xml:space="preserve"> клинических испытаний</w:t>
      </w:r>
      <w:r w:rsidRPr="00651B62">
        <w:rPr>
          <w:color w:val="000000"/>
        </w:rPr>
        <w:t xml:space="preserve"> </w:t>
      </w:r>
      <w:proofErr w:type="spellStart"/>
      <w:r w:rsidRPr="00651B62">
        <w:rPr>
          <w:color w:val="000000"/>
        </w:rPr>
        <w:t>Munster</w:t>
      </w:r>
      <w:proofErr w:type="spellEnd"/>
      <w:r w:rsidRPr="00651B62">
        <w:rPr>
          <w:color w:val="000000"/>
        </w:rPr>
        <w:t xml:space="preserve"> и </w:t>
      </w:r>
      <w:proofErr w:type="spellStart"/>
      <w:r w:rsidR="00192E10">
        <w:rPr>
          <w:color w:val="000000"/>
        </w:rPr>
        <w:t>соавт</w:t>
      </w:r>
      <w:proofErr w:type="spellEnd"/>
      <w:r>
        <w:rPr>
          <w:color w:val="000000"/>
        </w:rPr>
        <w:t>. выяснили</w:t>
      </w:r>
      <w:r w:rsidRPr="00651B62">
        <w:rPr>
          <w:color w:val="000000"/>
        </w:rPr>
        <w:t xml:space="preserve">, что </w:t>
      </w:r>
      <w:r w:rsidR="00192E10">
        <w:rPr>
          <w:color w:val="000000"/>
        </w:rPr>
        <w:t xml:space="preserve">комбинированное применение </w:t>
      </w:r>
      <w:proofErr w:type="spellStart"/>
      <w:r w:rsidRPr="00651B62">
        <w:rPr>
          <w:color w:val="000000"/>
        </w:rPr>
        <w:t>доксорубицин</w:t>
      </w:r>
      <w:r w:rsidR="00192E10">
        <w:rPr>
          <w:color w:val="000000"/>
        </w:rPr>
        <w:t>а</w:t>
      </w:r>
      <w:proofErr w:type="spellEnd"/>
      <w:r w:rsidRPr="00651B62">
        <w:rPr>
          <w:color w:val="000000"/>
        </w:rPr>
        <w:t xml:space="preserve"> (DOX) и </w:t>
      </w:r>
      <w:proofErr w:type="spellStart"/>
      <w:r w:rsidRPr="00651B62">
        <w:rPr>
          <w:color w:val="000000"/>
        </w:rPr>
        <w:t>вориностат</w:t>
      </w:r>
      <w:r w:rsidR="00192E10">
        <w:rPr>
          <w:color w:val="000000"/>
        </w:rPr>
        <w:t>а</w:t>
      </w:r>
      <w:proofErr w:type="spellEnd"/>
      <w:r w:rsidRPr="00651B62">
        <w:rPr>
          <w:color w:val="000000"/>
        </w:rPr>
        <w:t xml:space="preserve"> (SAHA) явля</w:t>
      </w:r>
      <w:r w:rsidR="00192E10">
        <w:rPr>
          <w:color w:val="000000"/>
        </w:rPr>
        <w:t>е</w:t>
      </w:r>
      <w:r w:rsidRPr="00651B62">
        <w:rPr>
          <w:color w:val="000000"/>
        </w:rPr>
        <w:t>тся</w:t>
      </w:r>
      <w:r w:rsidR="00192E10">
        <w:rPr>
          <w:color w:val="000000"/>
        </w:rPr>
        <w:t xml:space="preserve"> перспективным и безопасным</w:t>
      </w:r>
      <w:r w:rsidRPr="00651B62">
        <w:rPr>
          <w:color w:val="000000"/>
        </w:rPr>
        <w:t xml:space="preserve"> при лечении солидных опухолей</w:t>
      </w:r>
      <w:r w:rsidR="002F0340">
        <w:rPr>
          <w:color w:val="000000"/>
        </w:rPr>
        <w:t xml:space="preserve"> </w:t>
      </w:r>
      <w:r w:rsidR="002F0340">
        <w:rPr>
          <w:color w:val="000000"/>
        </w:rPr>
        <w:fldChar w:fldCharType="begin"/>
      </w:r>
      <w:r w:rsidR="002F0340">
        <w:rPr>
          <w:color w:val="000000"/>
        </w:rPr>
        <w:instrText xml:space="preserve"> ADDIN ZOTERO_ITEM CSL_CITATION {"citationID":"5ltLzj9B","properties":{"formattedCitation":"[1]","plainCitation":"[1]","noteIndex":0},"citationItems":[{"id":749,"uris":["http://zotero.org/users/local/TKX4ccGx/items/B6AF4ZMY"],"itemData":{"id":749,"type":"article-journal","abstract":"BACKGROUND: Histone deacetylase inhibitors (HDACi) can sensitise cancer cells to topoisomerase inhibitors by increasing their access and binding to DNA.\nMETHODS: This phase I trial was designed to determine the toxicity profile, tolerability, and recommended phase II dose of escalating doses of the HDACi vorinostat, with weekly doxorubicin.\nRESULTS: In total, 32 patients were treated; vorinostat was dosed at 400, 600, 800, or 1000 mg dayÀ1 on days 1 – 3, followed by doxorubicin (20 mg mÀ2) on day 3 for 3 of 4 weeks. Maximal tolerated dose was determined to be 800 mg dayÀ1 of vorinostat. Dose-limiting toxicities were grade 3 nausea/vomiting (two out of six) and fatigue (one out of six) at 1000 mg dayÀ1. Non-doselimiting grade 3/4 toxicities included haematological toxicity and venous thromboembolism. Antitumor activity in 24 evaluable patients included two partial responses (breast and prostate cancer). Two patients with melanoma had stable disease for X8 months. Histone hyperacetylation changes in peripheral blood mononuclear and tumour cells were comparable. Histone hyperacetylation seemed to correlate with pre-treatment HDAC2 expression.\nCONCLUSION: These findings suggest that vorinostat can be combined with weekly doxorubicin in this schedule at a dose of 800 mg dayÀ1. The HDAC2 expression may be a marker predictive of HDAC inhibition. Antitumor activity of this regimen in breast cancer, prostate cancer, and melanoma seems interesting.","container-title":"British Journal of Cancer","DOI":"10.1038/sj.bjc.6605293","ISSN":"0007-0920, 1532-1827","issue":"7","journalAbbreviation":"Br J Cancer","language":"en","page":"1044-1050","source":"DOI.org (Crossref)","title":"Phase I trial of vorinostat and doxorubicin in solid tumours: histone deacetylase 2 expression as a predictive marker","title-short":"Phase I trial of vorinostat and doxorubicin in solid tumours","volume":"101","author":[{"family":"Munster","given":"P N"},{"family":"Marchion","given":"D"},{"family":"Thomas","given":"S"},{"family":"Egorin","given":"M"},{"family":"Minton","given":"S"},{"family":"Springett","given":"G"},{"family":"Lee","given":"J-H"},{"family":"Simon","given":"G"},{"family":"Chiappori","given":"A"},{"family":"Sullivan","given":"D"},{"family":"Daud","given":"A"}],"issued":{"date-parts":[["2009",10]]}}}],"schema":"https://github.com/citation-style-language/schema/raw/master/csl-citation.json"} </w:instrText>
      </w:r>
      <w:r w:rsidR="002F0340">
        <w:rPr>
          <w:color w:val="000000"/>
        </w:rPr>
        <w:fldChar w:fldCharType="separate"/>
      </w:r>
      <w:r w:rsidR="002F0340" w:rsidRPr="002F0340">
        <w:t>[1]</w:t>
      </w:r>
      <w:r w:rsidR="002F0340">
        <w:rPr>
          <w:color w:val="000000"/>
        </w:rPr>
        <w:fldChar w:fldCharType="end"/>
      </w:r>
      <w:r w:rsidRPr="00651B62">
        <w:rPr>
          <w:color w:val="000000"/>
        </w:rPr>
        <w:t>.</w:t>
      </w:r>
      <w:r>
        <w:rPr>
          <w:color w:val="000000"/>
        </w:rPr>
        <w:t xml:space="preserve"> </w:t>
      </w:r>
      <w:proofErr w:type="spellStart"/>
      <w:r w:rsidRPr="00651B62">
        <w:rPr>
          <w:color w:val="000000"/>
        </w:rPr>
        <w:t>Вориностат</w:t>
      </w:r>
      <w:proofErr w:type="spellEnd"/>
      <w:r w:rsidRPr="00651B62">
        <w:rPr>
          <w:color w:val="000000"/>
        </w:rPr>
        <w:t xml:space="preserve"> </w:t>
      </w:r>
      <w:r w:rsidR="00192E10">
        <w:rPr>
          <w:color w:val="000000"/>
        </w:rPr>
        <w:t>—</w:t>
      </w:r>
      <w:r w:rsidRPr="00651B62">
        <w:rPr>
          <w:color w:val="000000"/>
        </w:rPr>
        <w:t>и</w:t>
      </w:r>
      <w:r>
        <w:rPr>
          <w:color w:val="000000"/>
        </w:rPr>
        <w:t xml:space="preserve">нгибитор </w:t>
      </w:r>
      <w:proofErr w:type="spellStart"/>
      <w:r>
        <w:rPr>
          <w:color w:val="000000"/>
        </w:rPr>
        <w:t>гистондеацетилаз</w:t>
      </w:r>
      <w:proofErr w:type="spellEnd"/>
      <w:r w:rsidRPr="00651B62">
        <w:rPr>
          <w:color w:val="000000"/>
        </w:rPr>
        <w:t xml:space="preserve"> (</w:t>
      </w:r>
      <w:proofErr w:type="spellStart"/>
      <w:r w:rsidRPr="00651B62">
        <w:rPr>
          <w:color w:val="000000"/>
        </w:rPr>
        <w:t>HDACi</w:t>
      </w:r>
      <w:proofErr w:type="spellEnd"/>
      <w:r w:rsidRPr="00651B62">
        <w:rPr>
          <w:color w:val="000000"/>
        </w:rPr>
        <w:t>), эффективн</w:t>
      </w:r>
      <w:r w:rsidR="00192E10">
        <w:rPr>
          <w:color w:val="000000"/>
        </w:rPr>
        <w:t>ый</w:t>
      </w:r>
      <w:r w:rsidRPr="00651B62">
        <w:rPr>
          <w:color w:val="000000"/>
        </w:rPr>
        <w:t xml:space="preserve"> противоопухолев</w:t>
      </w:r>
      <w:r w:rsidR="00192E10">
        <w:rPr>
          <w:color w:val="000000"/>
        </w:rPr>
        <w:t>ый</w:t>
      </w:r>
      <w:r w:rsidRPr="00651B62">
        <w:rPr>
          <w:color w:val="000000"/>
        </w:rPr>
        <w:t xml:space="preserve"> </w:t>
      </w:r>
      <w:r w:rsidR="00192E10">
        <w:rPr>
          <w:color w:val="000000"/>
        </w:rPr>
        <w:t>препарат</w:t>
      </w:r>
      <w:r w:rsidRPr="00651B62">
        <w:rPr>
          <w:color w:val="000000"/>
        </w:rPr>
        <w:t>, одобренн</w:t>
      </w:r>
      <w:r w:rsidR="00192E10">
        <w:rPr>
          <w:color w:val="000000"/>
        </w:rPr>
        <w:t>ый</w:t>
      </w:r>
      <w:r w:rsidRPr="00651B62">
        <w:rPr>
          <w:color w:val="000000"/>
        </w:rPr>
        <w:t xml:space="preserve"> FDA для </w:t>
      </w:r>
      <w:r w:rsidR="00192E10">
        <w:rPr>
          <w:color w:val="000000"/>
        </w:rPr>
        <w:t>терапии</w:t>
      </w:r>
      <w:r w:rsidRPr="00651B62">
        <w:rPr>
          <w:color w:val="000000"/>
        </w:rPr>
        <w:t xml:space="preserve"> Т-клеточной лимфомы</w:t>
      </w:r>
      <w:r w:rsidR="00BD7FAE">
        <w:rPr>
          <w:color w:val="000000"/>
        </w:rPr>
        <w:t xml:space="preserve">, который </w:t>
      </w:r>
      <w:r w:rsidRPr="00651B62">
        <w:rPr>
          <w:color w:val="000000"/>
        </w:rPr>
        <w:t>мо</w:t>
      </w:r>
      <w:r w:rsidR="00192E10">
        <w:rPr>
          <w:color w:val="000000"/>
        </w:rPr>
        <w:t>жет</w:t>
      </w:r>
      <w:r w:rsidRPr="00651B62">
        <w:rPr>
          <w:color w:val="000000"/>
        </w:rPr>
        <w:t xml:space="preserve"> усиливать цитотоксичность ингибиторов </w:t>
      </w:r>
      <w:proofErr w:type="spellStart"/>
      <w:r w:rsidRPr="00651B62">
        <w:rPr>
          <w:color w:val="000000"/>
        </w:rPr>
        <w:t>топоизомеразы</w:t>
      </w:r>
      <w:proofErr w:type="spellEnd"/>
      <w:r w:rsidRPr="00651B62">
        <w:rPr>
          <w:color w:val="000000"/>
        </w:rPr>
        <w:t xml:space="preserve"> II </w:t>
      </w:r>
      <w:proofErr w:type="spellStart"/>
      <w:r w:rsidRPr="00651B62">
        <w:rPr>
          <w:color w:val="000000"/>
        </w:rPr>
        <w:t>антрациклинового</w:t>
      </w:r>
      <w:proofErr w:type="spellEnd"/>
      <w:r w:rsidRPr="00651B62">
        <w:rPr>
          <w:color w:val="000000"/>
        </w:rPr>
        <w:t xml:space="preserve"> </w:t>
      </w:r>
      <w:r w:rsidR="00192E10">
        <w:rPr>
          <w:color w:val="000000"/>
        </w:rPr>
        <w:t>ряда</w:t>
      </w:r>
      <w:r w:rsidRPr="00651B62">
        <w:rPr>
          <w:color w:val="000000"/>
        </w:rPr>
        <w:t xml:space="preserve">, таких как </w:t>
      </w:r>
      <w:proofErr w:type="spellStart"/>
      <w:r w:rsidR="00192E10">
        <w:rPr>
          <w:color w:val="000000"/>
        </w:rPr>
        <w:t>доксорубицин</w:t>
      </w:r>
      <w:proofErr w:type="spellEnd"/>
      <w:r w:rsidR="002F0340">
        <w:rPr>
          <w:color w:val="000000"/>
        </w:rPr>
        <w:t xml:space="preserve"> </w:t>
      </w:r>
      <w:r w:rsidR="002F0340">
        <w:rPr>
          <w:color w:val="000000"/>
        </w:rPr>
        <w:fldChar w:fldCharType="begin"/>
      </w:r>
      <w:r w:rsidR="002F0340">
        <w:rPr>
          <w:color w:val="000000"/>
        </w:rPr>
        <w:instrText xml:space="preserve"> ADDIN ZOTERO_ITEM CSL_CITATION {"citationID":"rMNZbARf","properties":{"formattedCitation":"[2]","plainCitation":"[2]","noteIndex":0},"citationItems":[{"id":751,"uris":["http://zotero.org/users/local/TKX4ccGx/items/RVQLQF3G"],"itemData":{"id":751,"type":"article-journal","container-title":"Nature Genetics","DOI":"10.1038/81671","ISSN":"1061-4036, 1546-1718","issue":"3","journalAbbreviation":"Nat Genet","language":"en","page":"349-353","source":"DOI.org (Crossref)","title":"Histone deacetylase interacts directly with DNA topoisomerase II","volume":"26","author":[{"family":"Tsai","given":"Shih-Chang"},{"family":"Valkov","given":"Nikola"},{"family":"Yang","given":"Wen-Ming"},{"family":"Gump","given":"Jana"},{"family":"Sullivan","given":"Daniel"},{"family":"Seto","given":"Edward"}],"issued":{"date-parts":[["2000",11]]}}}],"schema":"https://github.com/citation-style-language/schema/raw/master/csl-citation.json"} </w:instrText>
      </w:r>
      <w:r w:rsidR="002F0340">
        <w:rPr>
          <w:color w:val="000000"/>
        </w:rPr>
        <w:fldChar w:fldCharType="separate"/>
      </w:r>
      <w:r w:rsidR="002F0340" w:rsidRPr="002F0340">
        <w:t>[2]</w:t>
      </w:r>
      <w:r w:rsidR="002F0340">
        <w:rPr>
          <w:color w:val="000000"/>
        </w:rPr>
        <w:fldChar w:fldCharType="end"/>
      </w:r>
      <w:r w:rsidRPr="00651B62">
        <w:rPr>
          <w:color w:val="000000"/>
        </w:rPr>
        <w:t>.</w:t>
      </w:r>
    </w:p>
    <w:p w14:paraId="345A7953" w14:textId="27D7E564" w:rsidR="004672A0" w:rsidRDefault="004672A0" w:rsidP="002264EE">
      <w:pPr>
        <w:pBdr>
          <w:top w:val="nil"/>
          <w:left w:val="nil"/>
          <w:bottom w:val="nil"/>
          <w:right w:val="nil"/>
          <w:between w:val="nil"/>
        </w:pBdr>
        <w:shd w:val="clear" w:color="auto" w:fill="FFFFFF"/>
        <w:ind w:firstLine="397"/>
        <w:jc w:val="both"/>
        <w:rPr>
          <w:color w:val="000000"/>
        </w:rPr>
      </w:pPr>
      <w:proofErr w:type="spellStart"/>
      <w:r w:rsidRPr="004672A0">
        <w:rPr>
          <w:color w:val="000000"/>
        </w:rPr>
        <w:t>Наноносители</w:t>
      </w:r>
      <w:proofErr w:type="spellEnd"/>
      <w:r w:rsidRPr="004672A0">
        <w:rPr>
          <w:color w:val="000000"/>
        </w:rPr>
        <w:t xml:space="preserve"> обладают преимуществом </w:t>
      </w:r>
      <w:r w:rsidR="00BD7FAE">
        <w:rPr>
          <w:color w:val="000000"/>
        </w:rPr>
        <w:t xml:space="preserve">селективного накопления и </w:t>
      </w:r>
      <w:r w:rsidRPr="004672A0">
        <w:rPr>
          <w:color w:val="000000"/>
        </w:rPr>
        <w:t>локального высвобождения лекарств в опухолях, что позволяет преодолеть множественную лекарственную устойчивость, а также снизить эффективные дозы, улучшить биодоступность лекарств</w:t>
      </w:r>
      <w:r w:rsidR="002F0340">
        <w:rPr>
          <w:color w:val="000000"/>
        </w:rPr>
        <w:t>енных средств</w:t>
      </w:r>
      <w:r w:rsidR="00BD7FAE">
        <w:rPr>
          <w:color w:val="000000"/>
        </w:rPr>
        <w:t xml:space="preserve"> и минимизировать побочные эффекты</w:t>
      </w:r>
      <w:r w:rsidR="002F0340">
        <w:rPr>
          <w:color w:val="000000"/>
        </w:rPr>
        <w:t xml:space="preserve"> </w:t>
      </w:r>
      <w:r w:rsidR="002F0340">
        <w:rPr>
          <w:color w:val="000000"/>
        </w:rPr>
        <w:fldChar w:fldCharType="begin"/>
      </w:r>
      <w:r w:rsidR="002F0340">
        <w:rPr>
          <w:color w:val="000000"/>
        </w:rPr>
        <w:instrText xml:space="preserve"> ADDIN ZOTERO_ITEM CSL_CITATION {"citationID":"F72G17aM","properties":{"formattedCitation":"[3]","plainCitation":"[3]","noteIndex":0},"citationItems":[{"id":753,"uris":["http://zotero.org/users/local/TKX4ccGx/items/V6RIU7BE"],"itemData":{"id":753,"type":"article-journal","abstract":"Chemotherapy has been widely used in breast cancer patients to reduce tumor size. However, most anticancer agents cannot differentiate between cancerous and normal cells, resulting in severe systemic toxicity. In addition, acquired drug resistance during the chemotherapy treatment further decreases treatment efficacy. With the proper treatment strategy, nanodrug carriers, such as liposomes/immunoliposomes, may be able to reduce undesired side effects of chemotherapy, to overcome the acquired multidrug resistance, and to further improve the treatment efficacy. In this study, a novel combinational targeted drug delivery system was developed by encapsulating antiangiogenesis drug bevacizumab into liposomes and encapsulating chemotherapy drug doxorubicin (DOX) into immunoliposomes where the human epidermal growth factor receptor 2 (HER2) antibody was used as a targeting ligand. This novel combinational system was tested in vitro using a HER2 positive and multidrug resistant breast cancer cell line (BT-474/MDR), and in vivo using a xenograft mouse tumor model. In vitro cell culture experiments show that immunoliposome delivery led to a high cell nucleus accumulation of DOX, whereas free DOX was observed mostly near the cell membrane and in cytoplasm due to the action of P-gp. Combining liposomal bevacizumab with immunoliposomal DOX achieved the best tumor growth inhibition and the lowest toxicity. Tumor size decreased steadily within a 60-day observation period indicating a potential synergistic effect between DOX and bevacizumab through the targeted delivery. Our findings clearly indicate that tumor growth was significantly delayed in the combinational liposomal drug delivery group. This novel combinational therapy has great potential for the treatment of patients with HER2/MDR double positive breast cancer.","container-title":"International Journal of Nanomedicine","DOI":"10.2147/IJN.S124770","ISSN":"1178-2013","journalAbbreviation":"IJN","language":"en","page":"671-681","source":"DOI.org (Crossref)","title":"Targeted multidrug delivery system to overcome chemoresistance in breast cancer","volume":"Volume 12","author":[{"family":"Tang","given":"Yuan"},{"family":"Soroush","given":"Fariborz"},{"family":"Tong","given":"Zhaohui"},{"family":"Kiani","given":"Mohammad"},{"family":"Wang","given":"Bin"}],"issued":{"date-parts":[["2017",1]]}}}],"schema":"https://github.com/citation-style-language/schema/raw/master/csl-citation.json"} </w:instrText>
      </w:r>
      <w:r w:rsidR="002F0340">
        <w:rPr>
          <w:color w:val="000000"/>
        </w:rPr>
        <w:fldChar w:fldCharType="separate"/>
      </w:r>
      <w:r w:rsidR="002F0340" w:rsidRPr="002F0340">
        <w:t>[3]</w:t>
      </w:r>
      <w:r w:rsidR="002F0340">
        <w:rPr>
          <w:color w:val="000000"/>
        </w:rPr>
        <w:fldChar w:fldCharType="end"/>
      </w:r>
      <w:r w:rsidRPr="004672A0">
        <w:rPr>
          <w:color w:val="000000"/>
        </w:rPr>
        <w:t>.</w:t>
      </w:r>
    </w:p>
    <w:p w14:paraId="3B31747C" w14:textId="074DE351" w:rsidR="004672A0" w:rsidRDefault="004672A0" w:rsidP="002264EE">
      <w:pPr>
        <w:pBdr>
          <w:top w:val="nil"/>
          <w:left w:val="nil"/>
          <w:bottom w:val="nil"/>
          <w:right w:val="nil"/>
          <w:between w:val="nil"/>
        </w:pBdr>
        <w:shd w:val="clear" w:color="auto" w:fill="FFFFFF"/>
        <w:ind w:firstLine="397"/>
        <w:jc w:val="both"/>
        <w:rPr>
          <w:color w:val="000000"/>
        </w:rPr>
      </w:pPr>
      <w:r>
        <w:rPr>
          <w:color w:val="000000"/>
        </w:rPr>
        <w:t>В данном исследовании</w:t>
      </w:r>
      <w:r w:rsidR="00E50742">
        <w:rPr>
          <w:color w:val="000000"/>
        </w:rPr>
        <w:t xml:space="preserve"> </w:t>
      </w:r>
      <w:r>
        <w:rPr>
          <w:color w:val="000000"/>
        </w:rPr>
        <w:t xml:space="preserve">была проведена разработка </w:t>
      </w:r>
      <w:r w:rsidRPr="004672A0">
        <w:rPr>
          <w:color w:val="000000"/>
        </w:rPr>
        <w:t>технологии получения наночастиц</w:t>
      </w:r>
      <w:r w:rsidR="001D78CD">
        <w:rPr>
          <w:color w:val="000000"/>
        </w:rPr>
        <w:t xml:space="preserve"> (НЧ)</w:t>
      </w:r>
      <w:r w:rsidR="002F0340" w:rsidRPr="002F0340">
        <w:rPr>
          <w:color w:val="000000"/>
        </w:rPr>
        <w:t xml:space="preserve"> </w:t>
      </w:r>
      <w:r w:rsidR="002F0340">
        <w:rPr>
          <w:color w:val="000000"/>
        </w:rPr>
        <w:t>на основе сополимера молочной и гликолевой кислот</w:t>
      </w:r>
      <w:r w:rsidRPr="004672A0">
        <w:rPr>
          <w:color w:val="000000"/>
        </w:rPr>
        <w:t xml:space="preserve"> </w:t>
      </w:r>
      <w:r w:rsidR="002F0340">
        <w:rPr>
          <w:color w:val="000000"/>
        </w:rPr>
        <w:t>(</w:t>
      </w:r>
      <w:r w:rsidR="001C3C53">
        <w:rPr>
          <w:color w:val="000000"/>
        </w:rPr>
        <w:t>ПЛГА</w:t>
      </w:r>
      <w:r w:rsidR="002F0340">
        <w:rPr>
          <w:color w:val="000000"/>
        </w:rPr>
        <w:t>)</w:t>
      </w:r>
      <w:r w:rsidRPr="004672A0">
        <w:rPr>
          <w:color w:val="000000"/>
        </w:rPr>
        <w:t>, содержащих SAHA</w:t>
      </w:r>
      <w:r w:rsidR="002F0340">
        <w:rPr>
          <w:color w:val="000000"/>
        </w:rPr>
        <w:t xml:space="preserve">. </w:t>
      </w:r>
      <w:r w:rsidR="00E50742">
        <w:rPr>
          <w:color w:val="000000"/>
        </w:rPr>
        <w:t xml:space="preserve">Для оптимизации методики получения </w:t>
      </w:r>
      <w:proofErr w:type="spellStart"/>
      <w:r w:rsidR="00E50742">
        <w:rPr>
          <w:color w:val="000000"/>
        </w:rPr>
        <w:t>нанопрепарата</w:t>
      </w:r>
      <w:proofErr w:type="spellEnd"/>
      <w:r w:rsidR="00E50742">
        <w:rPr>
          <w:color w:val="000000"/>
        </w:rPr>
        <w:t xml:space="preserve"> применялись схемы поверхностного отклика —</w:t>
      </w:r>
      <w:r w:rsidR="001D78CD">
        <w:rPr>
          <w:color w:val="000000"/>
        </w:rPr>
        <w:t xml:space="preserve"> </w:t>
      </w:r>
      <w:r w:rsidR="00E50742">
        <w:rPr>
          <w:color w:val="000000"/>
        </w:rPr>
        <w:t>планы Бокса-</w:t>
      </w:r>
      <w:proofErr w:type="spellStart"/>
      <w:r w:rsidR="00E50742">
        <w:rPr>
          <w:color w:val="000000"/>
        </w:rPr>
        <w:t>Бенкена</w:t>
      </w:r>
      <w:proofErr w:type="spellEnd"/>
      <w:r w:rsidR="00E50742">
        <w:rPr>
          <w:color w:val="000000"/>
        </w:rPr>
        <w:t>.</w:t>
      </w:r>
      <w:r w:rsidR="002F0340">
        <w:rPr>
          <w:color w:val="000000"/>
        </w:rPr>
        <w:t xml:space="preserve"> </w:t>
      </w:r>
      <w:r w:rsidR="00E50742" w:rsidRPr="00E50742">
        <w:rPr>
          <w:color w:val="000000"/>
        </w:rPr>
        <w:t>Наночастицы, полученные с использованием оптимизированн</w:t>
      </w:r>
      <w:r w:rsidR="001F5EDC">
        <w:rPr>
          <w:color w:val="000000"/>
        </w:rPr>
        <w:t xml:space="preserve">ого метода, </w:t>
      </w:r>
      <w:r w:rsidR="00BD7FAE">
        <w:rPr>
          <w:color w:val="000000"/>
        </w:rPr>
        <w:t>обладали диаметром</w:t>
      </w:r>
      <w:r w:rsidR="001F5EDC">
        <w:rPr>
          <w:color w:val="000000"/>
        </w:rPr>
        <w:t xml:space="preserve"> </w:t>
      </w:r>
      <w:r w:rsidR="00BD7FAE">
        <w:rPr>
          <w:color w:val="000000"/>
        </w:rPr>
        <w:t xml:space="preserve">не более </w:t>
      </w:r>
      <w:r w:rsidR="001F5EDC">
        <w:rPr>
          <w:color w:val="000000"/>
        </w:rPr>
        <w:t>25</w:t>
      </w:r>
      <w:r w:rsidR="00BD7FAE">
        <w:rPr>
          <w:color w:val="000000"/>
        </w:rPr>
        <w:t>0</w:t>
      </w:r>
      <w:r w:rsidR="000A5423">
        <w:rPr>
          <w:color w:val="000000"/>
        </w:rPr>
        <w:t> </w:t>
      </w:r>
      <w:r w:rsidR="00E50742" w:rsidRPr="00E50742">
        <w:rPr>
          <w:color w:val="000000"/>
        </w:rPr>
        <w:t>нм</w:t>
      </w:r>
      <w:r w:rsidR="00BD7FAE">
        <w:rPr>
          <w:color w:val="000000"/>
        </w:rPr>
        <w:t xml:space="preserve"> и дзета-потенциалом не менее -15</w:t>
      </w:r>
      <w:r w:rsidR="000A5423">
        <w:rPr>
          <w:color w:val="000000"/>
        </w:rPr>
        <w:t> </w:t>
      </w:r>
      <w:r w:rsidR="00BD7FAE">
        <w:rPr>
          <w:color w:val="000000"/>
        </w:rPr>
        <w:t>мВ</w:t>
      </w:r>
      <w:r w:rsidR="00DC2F86">
        <w:rPr>
          <w:color w:val="000000"/>
        </w:rPr>
        <w:t>.</w:t>
      </w:r>
      <w:r w:rsidR="00E50742">
        <w:rPr>
          <w:color w:val="000000"/>
        </w:rPr>
        <w:t xml:space="preserve"> </w:t>
      </w:r>
      <w:r w:rsidR="001D78CD">
        <w:rPr>
          <w:color w:val="000000"/>
        </w:rPr>
        <w:t xml:space="preserve">По разработанной технологии были получены НЧ с совместным инкапсулированием </w:t>
      </w:r>
      <w:r w:rsidR="001D78CD" w:rsidRPr="00E6476B">
        <w:rPr>
          <w:color w:val="000000"/>
        </w:rPr>
        <w:t>DOX и SAHA</w:t>
      </w:r>
      <w:r w:rsidR="001D78CD">
        <w:rPr>
          <w:color w:val="000000"/>
        </w:rPr>
        <w:t>.</w:t>
      </w:r>
    </w:p>
    <w:p w14:paraId="32E8EF8E" w14:textId="43D03DC6" w:rsidR="00DC2F86" w:rsidRPr="00E50742" w:rsidRDefault="00DC2F86" w:rsidP="002264EE">
      <w:pPr>
        <w:pBdr>
          <w:top w:val="nil"/>
          <w:left w:val="nil"/>
          <w:bottom w:val="nil"/>
          <w:right w:val="nil"/>
          <w:between w:val="nil"/>
        </w:pBdr>
        <w:shd w:val="clear" w:color="auto" w:fill="FFFFFF"/>
        <w:ind w:firstLine="397"/>
        <w:jc w:val="both"/>
        <w:rPr>
          <w:color w:val="000000"/>
        </w:rPr>
      </w:pPr>
      <w:r w:rsidRPr="00DC2F86">
        <w:rPr>
          <w:color w:val="000000"/>
        </w:rPr>
        <w:t xml:space="preserve">Также был разработан метод высокоэффективной жидкостной хроматографии (ВЭЖХ) для </w:t>
      </w:r>
      <w:r w:rsidR="001D78CD">
        <w:rPr>
          <w:color w:val="000000"/>
        </w:rPr>
        <w:t xml:space="preserve">одновременного </w:t>
      </w:r>
      <w:r w:rsidR="00E6476B">
        <w:rPr>
          <w:color w:val="000000"/>
        </w:rPr>
        <w:t>количественного</w:t>
      </w:r>
      <w:r w:rsidRPr="00DC2F86">
        <w:rPr>
          <w:color w:val="000000"/>
        </w:rPr>
        <w:t xml:space="preserve"> определения </w:t>
      </w:r>
      <w:r w:rsidR="00E6476B">
        <w:rPr>
          <w:color w:val="000000"/>
          <w:lang w:val="en-US"/>
        </w:rPr>
        <w:t>SAHA</w:t>
      </w:r>
      <w:r w:rsidRPr="00DC2F86">
        <w:rPr>
          <w:color w:val="000000"/>
        </w:rPr>
        <w:t xml:space="preserve"> и </w:t>
      </w:r>
      <w:r w:rsidR="00E6476B">
        <w:rPr>
          <w:color w:val="000000"/>
          <w:lang w:val="en-US"/>
        </w:rPr>
        <w:t>DOX</w:t>
      </w:r>
      <w:r w:rsidRPr="00DC2F86">
        <w:rPr>
          <w:color w:val="000000"/>
        </w:rPr>
        <w:t>,</w:t>
      </w:r>
      <w:r w:rsidR="00E6476B">
        <w:rPr>
          <w:color w:val="000000"/>
        </w:rPr>
        <w:t xml:space="preserve"> как в виде смеси свободных препаратов, так и</w:t>
      </w:r>
      <w:r w:rsidRPr="00DC2F86">
        <w:rPr>
          <w:color w:val="000000"/>
        </w:rPr>
        <w:t xml:space="preserve"> инкапсулированных в полимерные </w:t>
      </w:r>
      <w:r w:rsidR="001D78CD">
        <w:rPr>
          <w:color w:val="000000"/>
        </w:rPr>
        <w:t>НЧ</w:t>
      </w:r>
      <w:r>
        <w:rPr>
          <w:color w:val="000000"/>
        </w:rPr>
        <w:t xml:space="preserve"> </w:t>
      </w:r>
      <w:r w:rsidR="00AB7037">
        <w:rPr>
          <w:color w:val="000000"/>
        </w:rPr>
        <w:t>ПЛГА</w:t>
      </w:r>
      <w:r w:rsidRPr="00DC2F86">
        <w:rPr>
          <w:color w:val="000000"/>
        </w:rPr>
        <w:t>.</w:t>
      </w:r>
    </w:p>
    <w:p w14:paraId="5A3EDDFE" w14:textId="43F7EC4D" w:rsidR="00651B62" w:rsidRDefault="00E6476B" w:rsidP="002F0340">
      <w:pPr>
        <w:pBdr>
          <w:top w:val="nil"/>
          <w:left w:val="nil"/>
          <w:bottom w:val="nil"/>
          <w:right w:val="nil"/>
          <w:between w:val="nil"/>
        </w:pBdr>
        <w:shd w:val="clear" w:color="auto" w:fill="FFFFFF"/>
        <w:ind w:firstLine="397"/>
        <w:jc w:val="both"/>
        <w:rPr>
          <w:color w:val="000000"/>
        </w:rPr>
      </w:pPr>
      <w:r w:rsidRPr="00E6476B">
        <w:rPr>
          <w:color w:val="000000"/>
        </w:rPr>
        <w:t xml:space="preserve">Таким образом, были синтезированы </w:t>
      </w:r>
      <w:r w:rsidR="001D78CD">
        <w:rPr>
          <w:color w:val="000000"/>
        </w:rPr>
        <w:t>НЧ</w:t>
      </w:r>
      <w:r>
        <w:rPr>
          <w:color w:val="000000"/>
        </w:rPr>
        <w:t xml:space="preserve"> на основе</w:t>
      </w:r>
      <w:r w:rsidRPr="00E6476B">
        <w:rPr>
          <w:color w:val="000000"/>
        </w:rPr>
        <w:t xml:space="preserve"> </w:t>
      </w:r>
      <w:r w:rsidR="00AB7037">
        <w:rPr>
          <w:color w:val="000000"/>
        </w:rPr>
        <w:t>ПЛГА</w:t>
      </w:r>
      <w:r>
        <w:rPr>
          <w:color w:val="000000"/>
        </w:rPr>
        <w:t xml:space="preserve">, </w:t>
      </w:r>
      <w:r w:rsidRPr="00E6476B">
        <w:rPr>
          <w:color w:val="000000"/>
        </w:rPr>
        <w:t>разработан метод</w:t>
      </w:r>
      <w:r w:rsidR="00FF526C">
        <w:rPr>
          <w:color w:val="000000"/>
        </w:rPr>
        <w:t xml:space="preserve"> ВЭЖХ для</w:t>
      </w:r>
      <w:r w:rsidRPr="00E6476B">
        <w:rPr>
          <w:color w:val="000000"/>
        </w:rPr>
        <w:t xml:space="preserve"> </w:t>
      </w:r>
      <w:r>
        <w:rPr>
          <w:color w:val="000000"/>
        </w:rPr>
        <w:t>совместного</w:t>
      </w:r>
      <w:r w:rsidR="00FF526C">
        <w:rPr>
          <w:color w:val="000000"/>
        </w:rPr>
        <w:t xml:space="preserve"> количественного</w:t>
      </w:r>
      <w:r w:rsidRPr="00E6476B">
        <w:rPr>
          <w:color w:val="000000"/>
        </w:rPr>
        <w:t xml:space="preserve"> определения DOX и SAHA</w:t>
      </w:r>
      <w:r w:rsidR="00FF526C">
        <w:rPr>
          <w:color w:val="000000"/>
        </w:rPr>
        <w:t xml:space="preserve">. </w:t>
      </w:r>
      <w:r w:rsidRPr="00E6476B">
        <w:rPr>
          <w:color w:val="000000"/>
        </w:rPr>
        <w:t xml:space="preserve">Полученные данные являются значимыми и актуальными для разработки </w:t>
      </w:r>
      <w:r w:rsidR="001D78CD">
        <w:rPr>
          <w:color w:val="000000"/>
        </w:rPr>
        <w:t>НЧ</w:t>
      </w:r>
      <w:r w:rsidR="00BA4FFD">
        <w:rPr>
          <w:color w:val="000000"/>
        </w:rPr>
        <w:t xml:space="preserve"> на основе</w:t>
      </w:r>
      <w:r w:rsidRPr="00E6476B">
        <w:rPr>
          <w:color w:val="000000"/>
        </w:rPr>
        <w:t xml:space="preserve"> </w:t>
      </w:r>
      <w:r w:rsidR="00AB7037">
        <w:rPr>
          <w:color w:val="000000"/>
        </w:rPr>
        <w:t>ПЛГА</w:t>
      </w:r>
      <w:r w:rsidR="001D78CD">
        <w:rPr>
          <w:color w:val="000000"/>
        </w:rPr>
        <w:t xml:space="preserve"> </w:t>
      </w:r>
      <w:r w:rsidRPr="00E6476B">
        <w:rPr>
          <w:color w:val="000000"/>
        </w:rPr>
        <w:t xml:space="preserve">для безопасной и перспективной </w:t>
      </w:r>
      <w:r w:rsidR="001D78CD">
        <w:rPr>
          <w:color w:val="000000"/>
        </w:rPr>
        <w:t xml:space="preserve">комбинированной </w:t>
      </w:r>
      <w:r w:rsidRPr="00E6476B">
        <w:rPr>
          <w:color w:val="000000"/>
        </w:rPr>
        <w:t xml:space="preserve">терапии </w:t>
      </w:r>
      <w:r w:rsidR="001D78CD">
        <w:rPr>
          <w:color w:val="000000"/>
        </w:rPr>
        <w:t>онкологических заболеваний</w:t>
      </w:r>
      <w:r w:rsidRPr="00E6476B">
        <w:rPr>
          <w:color w:val="000000"/>
        </w:rPr>
        <w:t>.</w:t>
      </w:r>
    </w:p>
    <w:p w14:paraId="27FFBC2E" w14:textId="77777777" w:rsidR="001D78CD" w:rsidRDefault="001D78CD" w:rsidP="001D78CD">
      <w:pPr>
        <w:pBdr>
          <w:top w:val="nil"/>
          <w:left w:val="nil"/>
          <w:bottom w:val="nil"/>
          <w:right w:val="nil"/>
          <w:between w:val="nil"/>
        </w:pBdr>
        <w:shd w:val="clear" w:color="auto" w:fill="FFFFFF"/>
        <w:ind w:firstLine="397"/>
        <w:jc w:val="both"/>
        <w:rPr>
          <w:i/>
          <w:color w:val="000000"/>
        </w:rPr>
      </w:pPr>
    </w:p>
    <w:p w14:paraId="1D943DE8" w14:textId="71FFEF7A" w:rsidR="00BA4FFD" w:rsidRPr="001D78CD" w:rsidRDefault="00FF526C" w:rsidP="001D78CD">
      <w:pPr>
        <w:pBdr>
          <w:top w:val="nil"/>
          <w:left w:val="nil"/>
          <w:bottom w:val="nil"/>
          <w:right w:val="nil"/>
          <w:between w:val="nil"/>
        </w:pBdr>
        <w:shd w:val="clear" w:color="auto" w:fill="FFFFFF"/>
        <w:ind w:firstLine="397"/>
        <w:jc w:val="both"/>
        <w:rPr>
          <w:i/>
          <w:color w:val="000000"/>
        </w:rPr>
      </w:pPr>
      <w:r w:rsidRPr="00FF526C">
        <w:rPr>
          <w:i/>
          <w:color w:val="000000"/>
        </w:rPr>
        <w:t xml:space="preserve">Исследование выполнено за счет гранта Российского научного фонда </w:t>
      </w:r>
      <w:r w:rsidR="00C42C52">
        <w:rPr>
          <w:i/>
          <w:color w:val="000000"/>
        </w:rPr>
        <w:t>№</w:t>
      </w:r>
      <w:r w:rsidR="001D78CD">
        <w:rPr>
          <w:i/>
          <w:color w:val="000000"/>
        </w:rPr>
        <w:t xml:space="preserve"> 22-25-</w:t>
      </w:r>
      <w:r w:rsidRPr="001D78CD">
        <w:rPr>
          <w:i/>
          <w:color w:val="000000"/>
        </w:rPr>
        <w:t xml:space="preserve">00293, </w:t>
      </w:r>
      <w:hyperlink r:id="rId7" w:history="1">
        <w:r w:rsidR="00BA4FFD" w:rsidRPr="00BD7FAE">
          <w:rPr>
            <w:rStyle w:val="a9"/>
            <w:i/>
            <w:lang w:val="en-US"/>
          </w:rPr>
          <w:t>https</w:t>
        </w:r>
        <w:r w:rsidR="00BA4FFD" w:rsidRPr="001D78CD">
          <w:rPr>
            <w:rStyle w:val="a9"/>
            <w:i/>
          </w:rPr>
          <w:t>://</w:t>
        </w:r>
        <w:proofErr w:type="spellStart"/>
        <w:r w:rsidR="00BA4FFD" w:rsidRPr="00BD7FAE">
          <w:rPr>
            <w:rStyle w:val="a9"/>
            <w:i/>
            <w:lang w:val="en-US"/>
          </w:rPr>
          <w:t>rscf</w:t>
        </w:r>
        <w:proofErr w:type="spellEnd"/>
        <w:r w:rsidR="00BA4FFD" w:rsidRPr="001D78CD">
          <w:rPr>
            <w:rStyle w:val="a9"/>
            <w:i/>
          </w:rPr>
          <w:t>.</w:t>
        </w:r>
        <w:proofErr w:type="spellStart"/>
        <w:r w:rsidR="00BA4FFD" w:rsidRPr="00BD7FAE">
          <w:rPr>
            <w:rStyle w:val="a9"/>
            <w:i/>
            <w:lang w:val="en-US"/>
          </w:rPr>
          <w:t>ru</w:t>
        </w:r>
        <w:proofErr w:type="spellEnd"/>
        <w:r w:rsidR="00BA4FFD" w:rsidRPr="001D78CD">
          <w:rPr>
            <w:rStyle w:val="a9"/>
            <w:i/>
          </w:rPr>
          <w:t>/</w:t>
        </w:r>
        <w:r w:rsidR="00BA4FFD" w:rsidRPr="00BD7FAE">
          <w:rPr>
            <w:rStyle w:val="a9"/>
            <w:i/>
            <w:lang w:val="en-US"/>
          </w:rPr>
          <w:t>project</w:t>
        </w:r>
        <w:r w:rsidR="00BA4FFD" w:rsidRPr="001D78CD">
          <w:rPr>
            <w:rStyle w:val="a9"/>
            <w:i/>
          </w:rPr>
          <w:t>/22-25-00293/</w:t>
        </w:r>
      </w:hyperlink>
      <w:r w:rsidRPr="001D78CD">
        <w:rPr>
          <w:i/>
          <w:color w:val="000000"/>
        </w:rPr>
        <w:t>.</w:t>
      </w:r>
    </w:p>
    <w:p w14:paraId="602C3A15" w14:textId="77777777" w:rsidR="001D78CD" w:rsidRDefault="001D78CD" w:rsidP="00BA4FFD">
      <w:pPr>
        <w:pBdr>
          <w:top w:val="nil"/>
          <w:left w:val="nil"/>
          <w:bottom w:val="nil"/>
          <w:right w:val="nil"/>
          <w:between w:val="nil"/>
        </w:pBdr>
        <w:shd w:val="clear" w:color="auto" w:fill="FFFFFF"/>
        <w:ind w:firstLine="397"/>
        <w:jc w:val="center"/>
        <w:rPr>
          <w:b/>
          <w:color w:val="000000"/>
        </w:rPr>
      </w:pPr>
    </w:p>
    <w:p w14:paraId="7051F78C" w14:textId="5B17A8B3" w:rsidR="00FF526C" w:rsidRPr="00BD7FAE" w:rsidRDefault="00FF526C" w:rsidP="00BA4FFD">
      <w:pPr>
        <w:pBdr>
          <w:top w:val="nil"/>
          <w:left w:val="nil"/>
          <w:bottom w:val="nil"/>
          <w:right w:val="nil"/>
          <w:between w:val="nil"/>
        </w:pBdr>
        <w:shd w:val="clear" w:color="auto" w:fill="FFFFFF"/>
        <w:ind w:firstLine="397"/>
        <w:jc w:val="center"/>
        <w:rPr>
          <w:i/>
          <w:color w:val="000000"/>
          <w:lang w:val="en-US"/>
        </w:rPr>
      </w:pPr>
      <w:r>
        <w:rPr>
          <w:b/>
          <w:color w:val="000000"/>
        </w:rPr>
        <w:t>Литература</w:t>
      </w:r>
    </w:p>
    <w:p w14:paraId="2034027D" w14:textId="7D4E9CCC" w:rsidR="00E34EE4" w:rsidRPr="006A0B21" w:rsidRDefault="00E34EE4" w:rsidP="00E34EE4">
      <w:pPr>
        <w:jc w:val="both"/>
        <w:rPr>
          <w:lang w:val="en-US"/>
        </w:rPr>
      </w:pPr>
      <w:r w:rsidRPr="006A0B21">
        <w:rPr>
          <w:lang w:val="en-US"/>
        </w:rPr>
        <w:t>1.</w:t>
      </w:r>
      <w:r w:rsidR="00F622D4" w:rsidRPr="00F622D4">
        <w:rPr>
          <w:lang w:val="en-US"/>
        </w:rPr>
        <w:t> </w:t>
      </w:r>
      <w:r w:rsidRPr="006A0B21">
        <w:rPr>
          <w:lang w:val="en-US"/>
        </w:rPr>
        <w:t xml:space="preserve">Munster P.N. et al. Phase I trial of </w:t>
      </w:r>
      <w:proofErr w:type="spellStart"/>
      <w:r w:rsidRPr="006A0B21">
        <w:rPr>
          <w:lang w:val="en-US"/>
        </w:rPr>
        <w:t>vorinostat</w:t>
      </w:r>
      <w:proofErr w:type="spellEnd"/>
      <w:r w:rsidRPr="006A0B21">
        <w:rPr>
          <w:lang w:val="en-US"/>
        </w:rPr>
        <w:t xml:space="preserve"> and doxorubicin in solid </w:t>
      </w:r>
      <w:proofErr w:type="spellStart"/>
      <w:r w:rsidRPr="006A0B21">
        <w:rPr>
          <w:lang w:val="en-US"/>
        </w:rPr>
        <w:t>tumours</w:t>
      </w:r>
      <w:proofErr w:type="spellEnd"/>
      <w:r w:rsidRPr="006A0B21">
        <w:rPr>
          <w:lang w:val="en-US"/>
        </w:rPr>
        <w:t>: histone deacetylase 2 expression as a predictive marker // Br J Cancer. 2009. Vol. 101, № 7. P. 1044-1050.</w:t>
      </w:r>
    </w:p>
    <w:p w14:paraId="06503660" w14:textId="42970823" w:rsidR="00E34EE4" w:rsidRDefault="00E34EE4" w:rsidP="00E34EE4">
      <w:pPr>
        <w:jc w:val="both"/>
      </w:pPr>
      <w:r w:rsidRPr="006A0B21">
        <w:rPr>
          <w:lang w:val="en-US"/>
        </w:rPr>
        <w:t>2.</w:t>
      </w:r>
      <w:r w:rsidR="00F622D4" w:rsidRPr="00F622D4">
        <w:rPr>
          <w:lang w:val="en-US"/>
        </w:rPr>
        <w:t> </w:t>
      </w:r>
      <w:r w:rsidRPr="006A0B21">
        <w:rPr>
          <w:lang w:val="en-US"/>
        </w:rPr>
        <w:t xml:space="preserve">Tsai S.-C. et al. Histone deacetylase interacts directly with DNA topoisomerase II // Nat Genet. </w:t>
      </w:r>
      <w:r>
        <w:t xml:space="preserve">2000. </w:t>
      </w:r>
      <w:proofErr w:type="spellStart"/>
      <w:r>
        <w:t>Vol</w:t>
      </w:r>
      <w:proofErr w:type="spellEnd"/>
      <w:r>
        <w:t>. 26, № 3. P. 349-353.</w:t>
      </w:r>
    </w:p>
    <w:p w14:paraId="4E42C6DC" w14:textId="5FB410EC" w:rsidR="00E34EE4" w:rsidRDefault="00E34EE4" w:rsidP="00E34EE4">
      <w:pPr>
        <w:jc w:val="both"/>
      </w:pPr>
      <w:r w:rsidRPr="006A0B21">
        <w:rPr>
          <w:lang w:val="en-US"/>
        </w:rPr>
        <w:t>3.</w:t>
      </w:r>
      <w:r w:rsidR="00F622D4">
        <w:t> </w:t>
      </w:r>
      <w:r w:rsidRPr="006A0B21">
        <w:rPr>
          <w:lang w:val="en-US"/>
        </w:rPr>
        <w:t xml:space="preserve">Tang Y. et al. Targeted multidrug delivery system to overcome chemoresistance in breast cancer // IJN. 2017. </w:t>
      </w:r>
      <w:proofErr w:type="spellStart"/>
      <w:r>
        <w:t>Vol</w:t>
      </w:r>
      <w:proofErr w:type="spellEnd"/>
      <w:r>
        <w:t>. 12. P. 671-681.</w:t>
      </w:r>
    </w:p>
    <w:p w14:paraId="64D8E83A" w14:textId="26EE54B2" w:rsidR="00FF526C" w:rsidRPr="00C10516" w:rsidRDefault="00FF526C" w:rsidP="00E34EE4">
      <w:pPr>
        <w:pStyle w:val="af1"/>
        <w:jc w:val="both"/>
        <w:rPr>
          <w:b/>
          <w:color w:val="000000"/>
          <w:lang w:val="en-US"/>
        </w:rPr>
      </w:pPr>
    </w:p>
    <w:sectPr w:rsidR="00FF526C" w:rsidRPr="00C1051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8977970">
    <w:abstractNumId w:val="0"/>
  </w:num>
  <w:num w:numId="2" w16cid:durableId="124935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263ED"/>
    <w:rsid w:val="00063966"/>
    <w:rsid w:val="00086081"/>
    <w:rsid w:val="000A5423"/>
    <w:rsid w:val="00101A1C"/>
    <w:rsid w:val="00103DDD"/>
    <w:rsid w:val="00106375"/>
    <w:rsid w:val="00116478"/>
    <w:rsid w:val="00130241"/>
    <w:rsid w:val="00192E10"/>
    <w:rsid w:val="001C3C53"/>
    <w:rsid w:val="001D78CD"/>
    <w:rsid w:val="001E61C2"/>
    <w:rsid w:val="001F0493"/>
    <w:rsid w:val="001F5EDC"/>
    <w:rsid w:val="002264EE"/>
    <w:rsid w:val="0023307C"/>
    <w:rsid w:val="002F0340"/>
    <w:rsid w:val="00305ACB"/>
    <w:rsid w:val="0031361E"/>
    <w:rsid w:val="00391C38"/>
    <w:rsid w:val="003B76D6"/>
    <w:rsid w:val="0043604D"/>
    <w:rsid w:val="00460EF7"/>
    <w:rsid w:val="004672A0"/>
    <w:rsid w:val="004A26A3"/>
    <w:rsid w:val="004F0EDF"/>
    <w:rsid w:val="00522BF1"/>
    <w:rsid w:val="00590166"/>
    <w:rsid w:val="006165C7"/>
    <w:rsid w:val="00651B62"/>
    <w:rsid w:val="006F7A19"/>
    <w:rsid w:val="00754568"/>
    <w:rsid w:val="00775389"/>
    <w:rsid w:val="007965DA"/>
    <w:rsid w:val="00797838"/>
    <w:rsid w:val="007C36D8"/>
    <w:rsid w:val="007F2744"/>
    <w:rsid w:val="008931BE"/>
    <w:rsid w:val="00916441"/>
    <w:rsid w:val="00921D45"/>
    <w:rsid w:val="009A66DB"/>
    <w:rsid w:val="009B2F80"/>
    <w:rsid w:val="009B3300"/>
    <w:rsid w:val="009F3380"/>
    <w:rsid w:val="00A02163"/>
    <w:rsid w:val="00A314FE"/>
    <w:rsid w:val="00AB7037"/>
    <w:rsid w:val="00BA4FFD"/>
    <w:rsid w:val="00BD7FAE"/>
    <w:rsid w:val="00BF36F8"/>
    <w:rsid w:val="00BF4622"/>
    <w:rsid w:val="00C10516"/>
    <w:rsid w:val="00C42C52"/>
    <w:rsid w:val="00C93EDA"/>
    <w:rsid w:val="00CD00B1"/>
    <w:rsid w:val="00D22306"/>
    <w:rsid w:val="00D42542"/>
    <w:rsid w:val="00D8121C"/>
    <w:rsid w:val="00DC2F86"/>
    <w:rsid w:val="00E22189"/>
    <w:rsid w:val="00E34EE4"/>
    <w:rsid w:val="00E50742"/>
    <w:rsid w:val="00E6476B"/>
    <w:rsid w:val="00E74069"/>
    <w:rsid w:val="00EB1F49"/>
    <w:rsid w:val="00F622D4"/>
    <w:rsid w:val="00F66D10"/>
    <w:rsid w:val="00F865B3"/>
    <w:rsid w:val="00FB1509"/>
    <w:rsid w:val="00FF1903"/>
    <w:rsid w:val="00FF5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90C5E80E-1BC7-45AB-A6AB-9E093C65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0263ED"/>
    <w:rPr>
      <w:rFonts w:ascii="Tahoma" w:hAnsi="Tahoma" w:cs="Tahoma"/>
      <w:sz w:val="16"/>
      <w:szCs w:val="16"/>
    </w:rPr>
  </w:style>
  <w:style w:type="character" w:customStyle="1" w:styleId="ab">
    <w:name w:val="Текст выноски Знак"/>
    <w:basedOn w:val="a0"/>
    <w:link w:val="aa"/>
    <w:uiPriority w:val="99"/>
    <w:semiHidden/>
    <w:rsid w:val="000263ED"/>
    <w:rPr>
      <w:rFonts w:ascii="Tahoma" w:eastAsia="Times New Roman" w:hAnsi="Tahoma" w:cs="Tahoma"/>
      <w:sz w:val="16"/>
      <w:szCs w:val="16"/>
    </w:rPr>
  </w:style>
  <w:style w:type="character" w:styleId="ac">
    <w:name w:val="annotation reference"/>
    <w:basedOn w:val="a0"/>
    <w:uiPriority w:val="99"/>
    <w:semiHidden/>
    <w:unhideWhenUsed/>
    <w:rsid w:val="00305ACB"/>
    <w:rPr>
      <w:sz w:val="16"/>
      <w:szCs w:val="16"/>
    </w:rPr>
  </w:style>
  <w:style w:type="paragraph" w:styleId="ad">
    <w:name w:val="annotation text"/>
    <w:basedOn w:val="a"/>
    <w:link w:val="ae"/>
    <w:uiPriority w:val="99"/>
    <w:semiHidden/>
    <w:unhideWhenUsed/>
    <w:rsid w:val="00305ACB"/>
    <w:rPr>
      <w:sz w:val="20"/>
      <w:szCs w:val="20"/>
    </w:rPr>
  </w:style>
  <w:style w:type="character" w:customStyle="1" w:styleId="ae">
    <w:name w:val="Текст примечания Знак"/>
    <w:basedOn w:val="a0"/>
    <w:link w:val="ad"/>
    <w:uiPriority w:val="99"/>
    <w:semiHidden/>
    <w:rsid w:val="00305ACB"/>
    <w:rPr>
      <w:rFonts w:ascii="Times New Roman" w:eastAsia="Times New Roman" w:hAnsi="Times New Roman" w:cs="Times New Roman"/>
    </w:rPr>
  </w:style>
  <w:style w:type="paragraph" w:styleId="af">
    <w:name w:val="annotation subject"/>
    <w:basedOn w:val="ad"/>
    <w:next w:val="ad"/>
    <w:link w:val="af0"/>
    <w:uiPriority w:val="99"/>
    <w:semiHidden/>
    <w:unhideWhenUsed/>
    <w:rsid w:val="00305ACB"/>
    <w:rPr>
      <w:b/>
      <w:bCs/>
    </w:rPr>
  </w:style>
  <w:style w:type="character" w:customStyle="1" w:styleId="af0">
    <w:name w:val="Тема примечания Знак"/>
    <w:basedOn w:val="ae"/>
    <w:link w:val="af"/>
    <w:uiPriority w:val="99"/>
    <w:semiHidden/>
    <w:rsid w:val="00305ACB"/>
    <w:rPr>
      <w:rFonts w:ascii="Times New Roman" w:eastAsia="Times New Roman" w:hAnsi="Times New Roman" w:cs="Times New Roman"/>
      <w:b/>
      <w:bCs/>
    </w:rPr>
  </w:style>
  <w:style w:type="paragraph" w:styleId="af1">
    <w:name w:val="Bibliography"/>
    <w:basedOn w:val="a"/>
    <w:next w:val="a"/>
    <w:uiPriority w:val="37"/>
    <w:unhideWhenUsed/>
    <w:rsid w:val="002F0340"/>
    <w:pPr>
      <w:tabs>
        <w:tab w:val="left" w:pos="264"/>
      </w:tabs>
      <w:ind w:left="264" w:hanging="264"/>
    </w:pPr>
  </w:style>
  <w:style w:type="character" w:styleId="af2">
    <w:name w:val="FollowedHyperlink"/>
    <w:basedOn w:val="a0"/>
    <w:uiPriority w:val="99"/>
    <w:semiHidden/>
    <w:unhideWhenUsed/>
    <w:rsid w:val="00BD7F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6305">
      <w:bodyDiv w:val="1"/>
      <w:marLeft w:val="0"/>
      <w:marRight w:val="0"/>
      <w:marTop w:val="0"/>
      <w:marBottom w:val="0"/>
      <w:divBdr>
        <w:top w:val="none" w:sz="0" w:space="0" w:color="auto"/>
        <w:left w:val="none" w:sz="0" w:space="0" w:color="auto"/>
        <w:bottom w:val="none" w:sz="0" w:space="0" w:color="auto"/>
        <w:right w:val="none" w:sz="0" w:space="0" w:color="auto"/>
      </w:divBdr>
      <w:divsChild>
        <w:div w:id="557084680">
          <w:marLeft w:val="0"/>
          <w:marRight w:val="0"/>
          <w:marTop w:val="0"/>
          <w:marBottom w:val="0"/>
          <w:divBdr>
            <w:top w:val="none" w:sz="0" w:space="0" w:color="auto"/>
            <w:left w:val="none" w:sz="0" w:space="0" w:color="auto"/>
            <w:bottom w:val="none" w:sz="0" w:space="0" w:color="auto"/>
            <w:right w:val="none" w:sz="0" w:space="0" w:color="auto"/>
          </w:divBdr>
          <w:divsChild>
            <w:div w:id="890582618">
              <w:marLeft w:val="0"/>
              <w:marRight w:val="0"/>
              <w:marTop w:val="0"/>
              <w:marBottom w:val="0"/>
              <w:divBdr>
                <w:top w:val="none" w:sz="0" w:space="0" w:color="auto"/>
                <w:left w:val="none" w:sz="0" w:space="0" w:color="auto"/>
                <w:bottom w:val="none" w:sz="0" w:space="0" w:color="auto"/>
                <w:right w:val="none" w:sz="0" w:space="0" w:color="auto"/>
              </w:divBdr>
              <w:divsChild>
                <w:div w:id="434516893">
                  <w:marLeft w:val="0"/>
                  <w:marRight w:val="0"/>
                  <w:marTop w:val="0"/>
                  <w:marBottom w:val="0"/>
                  <w:divBdr>
                    <w:top w:val="none" w:sz="0" w:space="0" w:color="auto"/>
                    <w:left w:val="none" w:sz="0" w:space="0" w:color="auto"/>
                    <w:bottom w:val="none" w:sz="0" w:space="0" w:color="auto"/>
                    <w:right w:val="none" w:sz="0" w:space="0" w:color="auto"/>
                  </w:divBdr>
                  <w:divsChild>
                    <w:div w:id="1545436963">
                      <w:marLeft w:val="0"/>
                      <w:marRight w:val="0"/>
                      <w:marTop w:val="0"/>
                      <w:marBottom w:val="0"/>
                      <w:divBdr>
                        <w:top w:val="none" w:sz="0" w:space="0" w:color="auto"/>
                        <w:left w:val="none" w:sz="0" w:space="0" w:color="auto"/>
                        <w:bottom w:val="none" w:sz="0" w:space="0" w:color="auto"/>
                        <w:right w:val="none" w:sz="0" w:space="0" w:color="auto"/>
                      </w:divBdr>
                    </w:div>
                  </w:divsChild>
                </w:div>
                <w:div w:id="1245456772">
                  <w:marLeft w:val="0"/>
                  <w:marRight w:val="0"/>
                  <w:marTop w:val="0"/>
                  <w:marBottom w:val="0"/>
                  <w:divBdr>
                    <w:top w:val="none" w:sz="0" w:space="0" w:color="auto"/>
                    <w:left w:val="none" w:sz="0" w:space="0" w:color="auto"/>
                    <w:bottom w:val="none" w:sz="0" w:space="0" w:color="auto"/>
                    <w:right w:val="none" w:sz="0" w:space="0" w:color="auto"/>
                  </w:divBdr>
                  <w:divsChild>
                    <w:div w:id="1089278972">
                      <w:marLeft w:val="0"/>
                      <w:marRight w:val="0"/>
                      <w:marTop w:val="0"/>
                      <w:marBottom w:val="0"/>
                      <w:divBdr>
                        <w:top w:val="none" w:sz="0" w:space="0" w:color="auto"/>
                        <w:left w:val="none" w:sz="0" w:space="0" w:color="auto"/>
                        <w:bottom w:val="none" w:sz="0" w:space="0" w:color="auto"/>
                        <w:right w:val="none" w:sz="0" w:space="0" w:color="auto"/>
                      </w:divBdr>
                      <w:divsChild>
                        <w:div w:id="1057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46059490">
      <w:bodyDiv w:val="1"/>
      <w:marLeft w:val="0"/>
      <w:marRight w:val="0"/>
      <w:marTop w:val="0"/>
      <w:marBottom w:val="0"/>
      <w:divBdr>
        <w:top w:val="none" w:sz="0" w:space="0" w:color="auto"/>
        <w:left w:val="none" w:sz="0" w:space="0" w:color="auto"/>
        <w:bottom w:val="none" w:sz="0" w:space="0" w:color="auto"/>
        <w:right w:val="none" w:sz="0" w:space="0" w:color="auto"/>
      </w:divBdr>
      <w:divsChild>
        <w:div w:id="482088319">
          <w:marLeft w:val="0"/>
          <w:marRight w:val="0"/>
          <w:marTop w:val="0"/>
          <w:marBottom w:val="0"/>
          <w:divBdr>
            <w:top w:val="none" w:sz="0" w:space="0" w:color="auto"/>
            <w:left w:val="none" w:sz="0" w:space="0" w:color="auto"/>
            <w:bottom w:val="none" w:sz="0" w:space="0" w:color="auto"/>
            <w:right w:val="none" w:sz="0" w:space="0" w:color="auto"/>
          </w:divBdr>
          <w:divsChild>
            <w:div w:id="16777437">
              <w:marLeft w:val="0"/>
              <w:marRight w:val="0"/>
              <w:marTop w:val="0"/>
              <w:marBottom w:val="0"/>
              <w:divBdr>
                <w:top w:val="none" w:sz="0" w:space="0" w:color="auto"/>
                <w:left w:val="none" w:sz="0" w:space="0" w:color="auto"/>
                <w:bottom w:val="none" w:sz="0" w:space="0" w:color="auto"/>
                <w:right w:val="none" w:sz="0" w:space="0" w:color="auto"/>
              </w:divBdr>
              <w:divsChild>
                <w:div w:id="2117407032">
                  <w:marLeft w:val="0"/>
                  <w:marRight w:val="0"/>
                  <w:marTop w:val="0"/>
                  <w:marBottom w:val="0"/>
                  <w:divBdr>
                    <w:top w:val="none" w:sz="0" w:space="0" w:color="auto"/>
                    <w:left w:val="none" w:sz="0" w:space="0" w:color="auto"/>
                    <w:bottom w:val="none" w:sz="0" w:space="0" w:color="auto"/>
                    <w:right w:val="none" w:sz="0" w:space="0" w:color="auto"/>
                  </w:divBdr>
                  <w:divsChild>
                    <w:div w:id="202790938">
                      <w:marLeft w:val="0"/>
                      <w:marRight w:val="0"/>
                      <w:marTop w:val="0"/>
                      <w:marBottom w:val="0"/>
                      <w:divBdr>
                        <w:top w:val="none" w:sz="0" w:space="0" w:color="auto"/>
                        <w:left w:val="none" w:sz="0" w:space="0" w:color="auto"/>
                        <w:bottom w:val="none" w:sz="0" w:space="0" w:color="auto"/>
                        <w:right w:val="none" w:sz="0" w:space="0" w:color="auto"/>
                      </w:divBdr>
                    </w:div>
                  </w:divsChild>
                </w:div>
                <w:div w:id="3016317">
                  <w:marLeft w:val="0"/>
                  <w:marRight w:val="0"/>
                  <w:marTop w:val="0"/>
                  <w:marBottom w:val="0"/>
                  <w:divBdr>
                    <w:top w:val="none" w:sz="0" w:space="0" w:color="auto"/>
                    <w:left w:val="none" w:sz="0" w:space="0" w:color="auto"/>
                    <w:bottom w:val="none" w:sz="0" w:space="0" w:color="auto"/>
                    <w:right w:val="none" w:sz="0" w:space="0" w:color="auto"/>
                  </w:divBdr>
                  <w:divsChild>
                    <w:div w:id="1847406832">
                      <w:marLeft w:val="0"/>
                      <w:marRight w:val="0"/>
                      <w:marTop w:val="0"/>
                      <w:marBottom w:val="0"/>
                      <w:divBdr>
                        <w:top w:val="none" w:sz="0" w:space="0" w:color="auto"/>
                        <w:left w:val="none" w:sz="0" w:space="0" w:color="auto"/>
                        <w:bottom w:val="none" w:sz="0" w:space="0" w:color="auto"/>
                        <w:right w:val="none" w:sz="0" w:space="0" w:color="auto"/>
                      </w:divBdr>
                      <w:divsChild>
                        <w:div w:id="5936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71413202">
      <w:bodyDiv w:val="1"/>
      <w:marLeft w:val="0"/>
      <w:marRight w:val="0"/>
      <w:marTop w:val="0"/>
      <w:marBottom w:val="0"/>
      <w:divBdr>
        <w:top w:val="none" w:sz="0" w:space="0" w:color="auto"/>
        <w:left w:val="none" w:sz="0" w:space="0" w:color="auto"/>
        <w:bottom w:val="none" w:sz="0" w:space="0" w:color="auto"/>
        <w:right w:val="none" w:sz="0" w:space="0" w:color="auto"/>
      </w:divBdr>
      <w:divsChild>
        <w:div w:id="1935555116">
          <w:marLeft w:val="0"/>
          <w:marRight w:val="0"/>
          <w:marTop w:val="0"/>
          <w:marBottom w:val="0"/>
          <w:divBdr>
            <w:top w:val="none" w:sz="0" w:space="0" w:color="auto"/>
            <w:left w:val="none" w:sz="0" w:space="0" w:color="auto"/>
            <w:bottom w:val="none" w:sz="0" w:space="0" w:color="auto"/>
            <w:right w:val="none" w:sz="0" w:space="0" w:color="auto"/>
          </w:divBdr>
          <w:divsChild>
            <w:div w:id="1457143855">
              <w:marLeft w:val="0"/>
              <w:marRight w:val="0"/>
              <w:marTop w:val="0"/>
              <w:marBottom w:val="0"/>
              <w:divBdr>
                <w:top w:val="none" w:sz="0" w:space="0" w:color="auto"/>
                <w:left w:val="none" w:sz="0" w:space="0" w:color="auto"/>
                <w:bottom w:val="none" w:sz="0" w:space="0" w:color="auto"/>
                <w:right w:val="none" w:sz="0" w:space="0" w:color="auto"/>
              </w:divBdr>
              <w:divsChild>
                <w:div w:id="1677226693">
                  <w:marLeft w:val="0"/>
                  <w:marRight w:val="0"/>
                  <w:marTop w:val="0"/>
                  <w:marBottom w:val="0"/>
                  <w:divBdr>
                    <w:top w:val="none" w:sz="0" w:space="0" w:color="auto"/>
                    <w:left w:val="none" w:sz="0" w:space="0" w:color="auto"/>
                    <w:bottom w:val="none" w:sz="0" w:space="0" w:color="auto"/>
                    <w:right w:val="none" w:sz="0" w:space="0" w:color="auto"/>
                  </w:divBdr>
                  <w:divsChild>
                    <w:div w:id="286354602">
                      <w:marLeft w:val="0"/>
                      <w:marRight w:val="0"/>
                      <w:marTop w:val="0"/>
                      <w:marBottom w:val="0"/>
                      <w:divBdr>
                        <w:top w:val="none" w:sz="0" w:space="0" w:color="auto"/>
                        <w:left w:val="none" w:sz="0" w:space="0" w:color="auto"/>
                        <w:bottom w:val="none" w:sz="0" w:space="0" w:color="auto"/>
                        <w:right w:val="none" w:sz="0" w:space="0" w:color="auto"/>
                      </w:divBdr>
                    </w:div>
                  </w:divsChild>
                </w:div>
                <w:div w:id="567157521">
                  <w:marLeft w:val="0"/>
                  <w:marRight w:val="0"/>
                  <w:marTop w:val="0"/>
                  <w:marBottom w:val="0"/>
                  <w:divBdr>
                    <w:top w:val="none" w:sz="0" w:space="0" w:color="auto"/>
                    <w:left w:val="none" w:sz="0" w:space="0" w:color="auto"/>
                    <w:bottom w:val="none" w:sz="0" w:space="0" w:color="auto"/>
                    <w:right w:val="none" w:sz="0" w:space="0" w:color="auto"/>
                  </w:divBdr>
                  <w:divsChild>
                    <w:div w:id="373894685">
                      <w:marLeft w:val="0"/>
                      <w:marRight w:val="0"/>
                      <w:marTop w:val="0"/>
                      <w:marBottom w:val="0"/>
                      <w:divBdr>
                        <w:top w:val="none" w:sz="0" w:space="0" w:color="auto"/>
                        <w:left w:val="none" w:sz="0" w:space="0" w:color="auto"/>
                        <w:bottom w:val="none" w:sz="0" w:space="0" w:color="auto"/>
                        <w:right w:val="none" w:sz="0" w:space="0" w:color="auto"/>
                      </w:divBdr>
                      <w:divsChild>
                        <w:div w:id="15178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scf.ru/project/22-25-0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lyaev.I.A@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860E-A524-41C8-856C-759F0A8C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Gulyaev Ivan</cp:lastModifiedBy>
  <cp:revision>2</cp:revision>
  <dcterms:created xsi:type="dcterms:W3CDTF">2023-04-28T16:25:00Z</dcterms:created>
  <dcterms:modified xsi:type="dcterms:W3CDTF">2023-04-28T16:25:00Z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zotero-version="6.0.20"&gt;&lt;session id="p6mJdcD9"/&gt;&lt;style id="http://www.zotero.org/styles/gost-r-7-0-5-2008-numeric" hasBibliography="1" bibliographyStyleHasBeenSet="1"/&gt;&lt;prefs&gt;&lt;pref name="fieldType" value="Field"/&gt;&lt;/prefs&gt;&lt;/data&gt;</vt:lpwstr>
  </property>
</Properties>
</file>