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8D4F6C2" w:rsidR="00130241" w:rsidRDefault="001A4A9D" w:rsidP="001A4A9D">
      <w:pPr>
        <w:jc w:val="center"/>
        <w:rPr>
          <w:color w:val="000000"/>
        </w:rPr>
      </w:pPr>
      <w:r>
        <w:rPr>
          <w:b/>
          <w:color w:val="000000"/>
        </w:rPr>
        <w:t>Г</w:t>
      </w:r>
      <w:r w:rsidRPr="001A4A9D">
        <w:rPr>
          <w:b/>
          <w:color w:val="000000"/>
        </w:rPr>
        <w:t>етерогенны</w:t>
      </w:r>
      <w:r>
        <w:rPr>
          <w:b/>
          <w:color w:val="000000"/>
        </w:rPr>
        <w:t>е</w:t>
      </w:r>
      <w:r w:rsidRPr="001A4A9D">
        <w:rPr>
          <w:b/>
          <w:color w:val="000000"/>
        </w:rPr>
        <w:t xml:space="preserve"> биокатализатор</w:t>
      </w:r>
      <w:r>
        <w:rPr>
          <w:b/>
          <w:color w:val="000000"/>
        </w:rPr>
        <w:t>ы</w:t>
      </w:r>
      <w:r w:rsidRPr="001A4A9D">
        <w:rPr>
          <w:b/>
          <w:color w:val="000000"/>
        </w:rPr>
        <w:t xml:space="preserve"> </w:t>
      </w:r>
      <w:r w:rsidR="005460AB">
        <w:rPr>
          <w:b/>
          <w:color w:val="000000"/>
        </w:rPr>
        <w:t>на основе</w:t>
      </w:r>
      <w:r w:rsidRPr="001A4A9D">
        <w:rPr>
          <w:b/>
          <w:color w:val="000000"/>
        </w:rPr>
        <w:t xml:space="preserve"> смес</w:t>
      </w:r>
      <w:r w:rsidR="005460AB">
        <w:rPr>
          <w:b/>
          <w:color w:val="000000"/>
        </w:rPr>
        <w:t>и</w:t>
      </w:r>
      <w:r w:rsidRPr="001A4A9D">
        <w:rPr>
          <w:b/>
          <w:color w:val="000000"/>
        </w:rPr>
        <w:t xml:space="preserve"> дрожжей и кремнийсодержащ</w:t>
      </w:r>
      <w:r w:rsidR="005460AB">
        <w:rPr>
          <w:b/>
          <w:color w:val="000000"/>
        </w:rPr>
        <w:t>его</w:t>
      </w:r>
      <w:r w:rsidRPr="001A4A9D">
        <w:rPr>
          <w:b/>
          <w:color w:val="000000"/>
        </w:rPr>
        <w:t xml:space="preserve"> материал</w:t>
      </w:r>
      <w:r w:rsidR="005460AB">
        <w:rPr>
          <w:b/>
          <w:color w:val="000000"/>
        </w:rPr>
        <w:t>а</w:t>
      </w:r>
      <w:r w:rsidR="00921D45">
        <w:rPr>
          <w:b/>
          <w:color w:val="000000"/>
        </w:rPr>
        <w:t xml:space="preserve"> </w:t>
      </w:r>
    </w:p>
    <w:p w14:paraId="00000002" w14:textId="614ECAC0" w:rsidR="00130241" w:rsidRDefault="00A36443">
      <w:pPr>
        <w:pBdr>
          <w:top w:val="nil"/>
          <w:left w:val="nil"/>
          <w:bottom w:val="nil"/>
          <w:right w:val="nil"/>
          <w:between w:val="nil"/>
        </w:pBdr>
        <w:shd w:val="clear" w:color="auto" w:fill="FFFFFF"/>
        <w:jc w:val="center"/>
        <w:rPr>
          <w:color w:val="000000"/>
        </w:rPr>
      </w:pPr>
      <w:r>
        <w:rPr>
          <w:b/>
          <w:i/>
          <w:color w:val="000000"/>
        </w:rPr>
        <w:t>Ланцова Е.А.</w:t>
      </w:r>
    </w:p>
    <w:p w14:paraId="00000003" w14:textId="58197DA0" w:rsidR="00130241" w:rsidRDefault="00A36443">
      <w:pPr>
        <w:pBdr>
          <w:top w:val="nil"/>
          <w:left w:val="nil"/>
          <w:bottom w:val="nil"/>
          <w:right w:val="nil"/>
          <w:between w:val="nil"/>
        </w:pBdr>
        <w:shd w:val="clear" w:color="auto" w:fill="FFFFFF"/>
        <w:jc w:val="center"/>
        <w:rPr>
          <w:color w:val="000000"/>
        </w:rPr>
      </w:pPr>
      <w:r>
        <w:rPr>
          <w:i/>
          <w:color w:val="000000"/>
        </w:rPr>
        <w:t>Аспира</w:t>
      </w:r>
      <w:r w:rsidR="00EB1F49">
        <w:rPr>
          <w:i/>
          <w:color w:val="000000"/>
        </w:rPr>
        <w:t xml:space="preserve">нт, </w:t>
      </w:r>
      <w:r>
        <w:rPr>
          <w:i/>
          <w:color w:val="000000"/>
        </w:rPr>
        <w:t>1 курс; младший научный сотрудник</w:t>
      </w:r>
    </w:p>
    <w:p w14:paraId="00000007" w14:textId="133D419A" w:rsidR="00130241" w:rsidRDefault="00A36443" w:rsidP="00A36443">
      <w:pPr>
        <w:pBdr>
          <w:top w:val="nil"/>
          <w:left w:val="nil"/>
          <w:bottom w:val="nil"/>
          <w:right w:val="nil"/>
          <w:between w:val="nil"/>
        </w:pBdr>
        <w:shd w:val="clear" w:color="auto" w:fill="FFFFFF"/>
        <w:jc w:val="center"/>
        <w:rPr>
          <w:color w:val="000000"/>
        </w:rPr>
      </w:pPr>
      <w:r>
        <w:rPr>
          <w:i/>
          <w:color w:val="000000"/>
        </w:rPr>
        <w:t>Тульский государственный университет</w:t>
      </w:r>
      <w:r w:rsidR="00EB1F49">
        <w:rPr>
          <w:i/>
          <w:color w:val="000000"/>
        </w:rPr>
        <w:t xml:space="preserve">, </w:t>
      </w:r>
      <w:r>
        <w:rPr>
          <w:i/>
        </w:rPr>
        <w:t>лаборатория биологически активных соединений и биокомпозитов</w:t>
      </w:r>
      <w:r>
        <w:rPr>
          <w:i/>
          <w:color w:val="000000"/>
        </w:rPr>
        <w:t>, Тул</w:t>
      </w:r>
      <w:r w:rsidR="00EB1F49">
        <w:rPr>
          <w:i/>
          <w:color w:val="000000"/>
        </w:rPr>
        <w:t>а, Россия</w:t>
      </w:r>
    </w:p>
    <w:p w14:paraId="00000008" w14:textId="3B22039D" w:rsidR="00130241" w:rsidRPr="00A36443" w:rsidRDefault="00EB1F49">
      <w:pPr>
        <w:pBdr>
          <w:top w:val="nil"/>
          <w:left w:val="nil"/>
          <w:bottom w:val="nil"/>
          <w:right w:val="nil"/>
          <w:between w:val="nil"/>
        </w:pBdr>
        <w:shd w:val="clear" w:color="auto" w:fill="FFFFFF"/>
        <w:jc w:val="center"/>
        <w:rPr>
          <w:color w:val="000000"/>
          <w:lang w:val="en-US"/>
        </w:rPr>
      </w:pPr>
      <w:r w:rsidRPr="00A36443">
        <w:rPr>
          <w:i/>
          <w:color w:val="000000"/>
          <w:lang w:val="en-US"/>
        </w:rPr>
        <w:t>E</w:t>
      </w:r>
      <w:r w:rsidR="003B76D6" w:rsidRPr="00A36443">
        <w:rPr>
          <w:i/>
          <w:color w:val="000000"/>
          <w:lang w:val="en-US"/>
        </w:rPr>
        <w:t>-</w:t>
      </w:r>
      <w:r w:rsidRPr="00A36443">
        <w:rPr>
          <w:i/>
          <w:color w:val="000000"/>
          <w:lang w:val="en-US"/>
        </w:rPr>
        <w:t xml:space="preserve">mail: </w:t>
      </w:r>
      <w:hyperlink r:id="rId7" w:history="1">
        <w:r w:rsidR="00A36443" w:rsidRPr="00917381">
          <w:rPr>
            <w:rStyle w:val="a9"/>
            <w:i/>
            <w:lang w:val="en-US"/>
          </w:rPr>
          <w:t>dart.liza@yandex.ru</w:t>
        </w:r>
      </w:hyperlink>
      <w:r w:rsidRPr="00A36443">
        <w:rPr>
          <w:i/>
          <w:color w:val="000000"/>
          <w:lang w:val="en-US"/>
        </w:rPr>
        <w:t xml:space="preserve"> </w:t>
      </w:r>
    </w:p>
    <w:p w14:paraId="06F93E91" w14:textId="775E740E" w:rsidR="00D958AA" w:rsidRDefault="001A4A9D" w:rsidP="00D958AA">
      <w:pPr>
        <w:pBdr>
          <w:top w:val="nil"/>
          <w:left w:val="nil"/>
          <w:bottom w:val="nil"/>
          <w:right w:val="nil"/>
          <w:between w:val="nil"/>
        </w:pBdr>
        <w:shd w:val="clear" w:color="auto" w:fill="FFFFFF"/>
        <w:ind w:firstLine="397"/>
        <w:jc w:val="both"/>
        <w:rPr>
          <w:color w:val="000000"/>
        </w:rPr>
      </w:pPr>
      <w:proofErr w:type="gramStart"/>
      <w:r w:rsidRPr="005A7498">
        <w:rPr>
          <w:color w:val="000000"/>
          <w:shd w:val="clear" w:color="auto" w:fill="FFFFFF"/>
        </w:rPr>
        <w:t>Для мониторинга за состоянием водных объектов и определения качества воды в настоящее время все чаще использ</w:t>
      </w:r>
      <w:r w:rsidR="00EC5F76">
        <w:rPr>
          <w:color w:val="000000"/>
          <w:shd w:val="clear" w:color="auto" w:fill="FFFFFF"/>
        </w:rPr>
        <w:t>уют</w:t>
      </w:r>
      <w:r w:rsidRPr="005A7498">
        <w:rPr>
          <w:color w:val="000000"/>
          <w:shd w:val="clear" w:color="auto" w:fill="FFFFFF"/>
        </w:rPr>
        <w:t>ся биосенсоры</w:t>
      </w:r>
      <w:r w:rsidR="007B5370">
        <w:rPr>
          <w:color w:val="000000"/>
          <w:shd w:val="clear" w:color="auto" w:fill="FFFFFF"/>
        </w:rPr>
        <w:t xml:space="preserve"> </w:t>
      </w:r>
      <w:r w:rsidR="007B5370">
        <w:fldChar w:fldCharType="begin" w:fldLock="1"/>
      </w:r>
      <w:r w:rsidR="007B5370">
        <w:instrText>ADDIN CSL_CITATION {"citationItems":[{"id":"ITEM-1","itemData":{"ISSN":"2379-3694","author":[{"dropping-particle":"","family":"Sonawane","given":"Jayesh M","non-dropping-particle":"","parse-names":false,"suffix":""},{"dropping-particle":"","family":"Ezugwu","given":"Chizoba I","non-dropping-particle":"","parse-names":false,"suffix":""},{"dropping-particle":"","family":"Ghosh","given":"Prakash C","non-dropping-particle":"","parse-names":false,"suffix":""}],"container-title":"ACS sensors","id":"ITEM-1","issue":"8","issued":{"date-parts":[["2020"]]},"page":"2297-2316","publisher":"ACS Publications","title":"Microbial fuel cell-based biological oxygen demand sensors for monitoring wastewater: state-of-the-art and practical applications","type":"article-journal","volume":"5"},"uris":["http://www.mendeley.com/documents/?uuid=0158ceb0-c7fe-4649-9dcc-4df7b6432f27"]}],"mendeley":{"formattedCitation":"[1]","plainTextFormattedCitation":"[1]","previouslyFormattedCitation":"[1]"},"properties":{"noteIndex":0},"schema":"https://github.com/citation-style-language/schema/raw/master/csl-citation.json"}</w:instrText>
      </w:r>
      <w:r w:rsidR="007B5370">
        <w:fldChar w:fldCharType="separate"/>
      </w:r>
      <w:r w:rsidR="007B5370" w:rsidRPr="007B5370">
        <w:rPr>
          <w:noProof/>
        </w:rPr>
        <w:t>[1]</w:t>
      </w:r>
      <w:r w:rsidR="007B5370">
        <w:fldChar w:fldCharType="end"/>
      </w:r>
      <w:r w:rsidRPr="005A7498">
        <w:rPr>
          <w:color w:val="000000"/>
          <w:shd w:val="clear" w:color="auto" w:fill="FFFFFF"/>
        </w:rPr>
        <w:t xml:space="preserve">. </w:t>
      </w:r>
      <w:r w:rsidR="006E7C29">
        <w:rPr>
          <w:color w:val="000000"/>
          <w:shd w:val="clear" w:color="auto" w:fill="FFFFFF"/>
        </w:rPr>
        <w:t>Д</w:t>
      </w:r>
      <w:r w:rsidRPr="005A7498">
        <w:rPr>
          <w:color w:val="000000"/>
          <w:shd w:val="clear" w:color="auto" w:fill="FFFFFF"/>
        </w:rPr>
        <w:t xml:space="preserve">ля очистки вод </w:t>
      </w:r>
      <w:r w:rsidR="00EC5F76">
        <w:rPr>
          <w:color w:val="000000"/>
          <w:shd w:val="clear" w:color="auto" w:fill="FFFFFF"/>
        </w:rPr>
        <w:t>могут</w:t>
      </w:r>
      <w:r w:rsidRPr="005A7498">
        <w:rPr>
          <w:color w:val="000000"/>
          <w:shd w:val="clear" w:color="auto" w:fill="FFFFFF"/>
        </w:rPr>
        <w:t xml:space="preserve"> применя</w:t>
      </w:r>
      <w:r w:rsidR="00EC5F76">
        <w:rPr>
          <w:color w:val="000000"/>
          <w:shd w:val="clear" w:color="auto" w:fill="FFFFFF"/>
        </w:rPr>
        <w:t>ть</w:t>
      </w:r>
      <w:r w:rsidRPr="005A7498">
        <w:rPr>
          <w:color w:val="000000"/>
          <w:shd w:val="clear" w:color="auto" w:fill="FFFFFF"/>
        </w:rPr>
        <w:t xml:space="preserve">ся гетерогенные биокатализаторы на основе </w:t>
      </w:r>
      <w:r w:rsidR="00EC5F76">
        <w:rPr>
          <w:color w:val="000000"/>
          <w:shd w:val="clear" w:color="auto" w:fill="FFFFFF"/>
        </w:rPr>
        <w:t>клеток микроорганизмов</w:t>
      </w:r>
      <w:proofErr w:type="gramEnd"/>
      <w:r w:rsidR="00EC5F76">
        <w:rPr>
          <w:color w:val="000000"/>
          <w:shd w:val="clear" w:color="auto" w:fill="FFFFFF"/>
        </w:rPr>
        <w:t xml:space="preserve"> </w:t>
      </w:r>
      <w:r w:rsidR="007B5370">
        <w:rPr>
          <w:color w:val="000000"/>
          <w:shd w:val="clear" w:color="auto" w:fill="FFFFFF"/>
        </w:rPr>
        <w:fldChar w:fldCharType="begin" w:fldLock="1"/>
      </w:r>
      <w:r w:rsidR="007B5370">
        <w:rPr>
          <w:color w:val="000000"/>
          <w:shd w:val="clear" w:color="auto" w:fill="FFFFFF"/>
        </w:rPr>
        <w:instrText>ADDIN CSL_CITATION {"citationItems":[{"id":"ITEM-1","itemData":{"ISSN":"0960-8524","author":[{"dropping-particle":"","family":"Singh","given":"Arvind","non-dropping-particle":"","parse-names":false,"suffix":""},{"dropping-particle":"","family":"Pal","given":"Dan Bahadur","non-dropping-particle":"","parse-names":false,"suffix":""},{"dropping-particle":"","family":"Mohammad","given":"Akbar","non-dropping-particle":"","parse-names":false,"suffix":""},{"dropping-particle":"","family":"Alhazmi","given":"Alaa","non-dropping-particle":"","parse-names":false,"suffix":""},{"dropping-particle":"","family":"Haque","given":"Shafiul","non-dropping-particle":"","parse-names":false,"suffix":""},{"dropping-particle":"","family":"Yoon","given":"Taeho","non-dropping-particle":"","parse-names":false,"suffix":""},{"dropping-particle":"","family":"Srivastava","given":"Neha","non-dropping-particle":"","parse-names":false,"suffix":""},{"dropping-particle":"","family":"Gupta","given":"Vijai Kumar","non-dropping-particle":"","parse-names":false,"suffix":""}],"container-title":"Bioresource Technology","id":"ITEM-1","issued":{"date-parts":[["2022"]]},"page":"126154","publisher":"Elsevier","title":"Biological remediation technologies for dyes and heavy metals in wastewater treatment: New insight","type":"article-journal","volume":"343"},"uris":["http://www.mendeley.com/documents/?uuid=aaa03ea1-55be-4db2-97e5-43675dedad4a"]}],"mendeley":{"formattedCitation":"[2]","plainTextFormattedCitation":"[2]","previouslyFormattedCitation":"[2]"},"properties":{"noteIndex":0},"schema":"https://github.com/citation-style-language/schema/raw/master/csl-citation.json"}</w:instrText>
      </w:r>
      <w:r w:rsidR="007B5370">
        <w:rPr>
          <w:color w:val="000000"/>
          <w:shd w:val="clear" w:color="auto" w:fill="FFFFFF"/>
        </w:rPr>
        <w:fldChar w:fldCharType="separate"/>
      </w:r>
      <w:r w:rsidR="007B5370" w:rsidRPr="007B5370">
        <w:rPr>
          <w:noProof/>
          <w:color w:val="000000"/>
          <w:shd w:val="clear" w:color="auto" w:fill="FFFFFF"/>
        </w:rPr>
        <w:t>[2]</w:t>
      </w:r>
      <w:r w:rsidR="007B5370">
        <w:rPr>
          <w:color w:val="000000"/>
          <w:shd w:val="clear" w:color="auto" w:fill="FFFFFF"/>
        </w:rPr>
        <w:fldChar w:fldCharType="end"/>
      </w:r>
      <w:r w:rsidRPr="005A7498">
        <w:rPr>
          <w:color w:val="000000"/>
          <w:shd w:val="clear" w:color="auto" w:fill="FFFFFF"/>
        </w:rPr>
        <w:t>.</w:t>
      </w:r>
      <w:r w:rsidR="00AA1757">
        <w:rPr>
          <w:color w:val="000000"/>
          <w:shd w:val="clear" w:color="auto" w:fill="FFFFFF"/>
        </w:rPr>
        <w:t xml:space="preserve"> </w:t>
      </w:r>
      <w:r w:rsidRPr="005A7498">
        <w:rPr>
          <w:color w:val="000000"/>
          <w:shd w:val="clear" w:color="auto" w:fill="FFFFFF"/>
        </w:rPr>
        <w:t xml:space="preserve">Для сохранения каталитической активности клеток </w:t>
      </w:r>
      <w:r w:rsidR="00EC5F76">
        <w:rPr>
          <w:color w:val="000000"/>
          <w:shd w:val="clear" w:color="auto" w:fill="FFFFFF"/>
        </w:rPr>
        <w:t>существуют</w:t>
      </w:r>
      <w:r w:rsidRPr="005A7498">
        <w:rPr>
          <w:color w:val="000000"/>
          <w:shd w:val="clear" w:color="auto" w:fill="FFFFFF"/>
        </w:rPr>
        <w:t xml:space="preserve"> методы иммобилизации, о</w:t>
      </w:r>
      <w:r w:rsidR="00AA1757">
        <w:rPr>
          <w:color w:val="000000"/>
          <w:shd w:val="clear" w:color="auto" w:fill="FFFFFF"/>
        </w:rPr>
        <w:t xml:space="preserve">дним из </w:t>
      </w:r>
      <w:r w:rsidRPr="005A7498">
        <w:rPr>
          <w:color w:val="000000"/>
          <w:shd w:val="clear" w:color="auto" w:fill="FFFFFF"/>
        </w:rPr>
        <w:t>привлекательны</w:t>
      </w:r>
      <w:r w:rsidR="00AA1757">
        <w:rPr>
          <w:color w:val="000000"/>
          <w:shd w:val="clear" w:color="auto" w:fill="FFFFFF"/>
        </w:rPr>
        <w:t>х</w:t>
      </w:r>
      <w:r w:rsidRPr="005A7498">
        <w:rPr>
          <w:color w:val="000000"/>
          <w:shd w:val="clear" w:color="auto" w:fill="FFFFFF"/>
        </w:rPr>
        <w:t xml:space="preserve"> методо</w:t>
      </w:r>
      <w:r w:rsidR="00AA1757">
        <w:rPr>
          <w:color w:val="000000"/>
          <w:shd w:val="clear" w:color="auto" w:fill="FFFFFF"/>
        </w:rPr>
        <w:t>в</w:t>
      </w:r>
      <w:r w:rsidRPr="005A7498">
        <w:rPr>
          <w:color w:val="000000"/>
          <w:shd w:val="clear" w:color="auto" w:fill="FFFFFF"/>
        </w:rPr>
        <w:t xml:space="preserve"> является</w:t>
      </w:r>
      <w:r w:rsidR="00AA1757">
        <w:rPr>
          <w:color w:val="000000"/>
          <w:shd w:val="clear" w:color="auto" w:fill="FFFFFF"/>
        </w:rPr>
        <w:t xml:space="preserve"> </w:t>
      </w:r>
      <w:proofErr w:type="spellStart"/>
      <w:r w:rsidR="00AA1757">
        <w:rPr>
          <w:color w:val="000000"/>
          <w:shd w:val="clear" w:color="auto" w:fill="FFFFFF"/>
        </w:rPr>
        <w:t>инкапсулирование</w:t>
      </w:r>
      <w:proofErr w:type="spellEnd"/>
      <w:r w:rsidR="00AA1757">
        <w:rPr>
          <w:color w:val="000000"/>
          <w:shd w:val="clear" w:color="auto" w:fill="FFFFFF"/>
        </w:rPr>
        <w:t xml:space="preserve"> </w:t>
      </w:r>
      <w:r w:rsidRPr="005A7498">
        <w:rPr>
          <w:color w:val="000000"/>
          <w:shd w:val="clear" w:color="auto" w:fill="FFFFFF"/>
        </w:rPr>
        <w:t>в золь-гель матрицы</w:t>
      </w:r>
      <w:r w:rsidR="007B5370">
        <w:rPr>
          <w:color w:val="000000"/>
          <w:shd w:val="clear" w:color="auto" w:fill="FFFFFF"/>
        </w:rPr>
        <w:t xml:space="preserve"> </w:t>
      </w:r>
      <w:r w:rsidR="007B5370">
        <w:fldChar w:fldCharType="begin" w:fldLock="1"/>
      </w:r>
      <w:r w:rsidR="007B5370">
        <w:instrText>ADDIN CSL_CITATION {"citationItems":[{"id":"ITEM-1","itemData":{"DOI":"10.1007/s00253-015-6390-y","ISSN":"1432-0614","abstract":"Immobilization is one of the most effective and powerful tools used in industry, which has been studied and improved since the last century. Various immobilization techniques and support materials have been used on both laboratory and industrial scale. Each immobilization technique is applicable for a specific production mostly depending on the cost and sensibility of process. Compared to free biocatalyst systems, immobilization techniques often offer better stability, increased activity and selectivity, higher resistance, improved separation and purification, reuse of enzymes, and consequently more efficient process. Recently, many reviews have been published about immobilization systems; however, most of them have focused on a specific application or not emphasized in details. This review focuses on most commonly used techniques in industry with many recent applications including using bioreactor systems for industrial production. It is also aimed to emphasize the advantages and disadvantages of the immobilization techniques and how these systems improve process productivity compared to non-immobilized systems.","author":[{"dropping-particle":"","family":"Eş","given":"Ismail","non-dropping-particle":"","parse-names":false,"suffix":""},{"dropping-particle":"","family":"Vieira","given":"José Daniel Gonçalves","non-dropping-particle":"","parse-names":false,"suffix":""},{"dropping-particle":"","family":"Amaral","given":"André Corrêa","non-dropping-particle":"","parse-names":false,"suffix":""}],"container-title":"Applied Microbiology and Biotechnology","id":"ITEM-1","issue":"5","issued":{"date-parts":[["2015"]]},"page":"2065-2082","title":"Principles, techniques, and applications of biocatalyst immobilization for industrial application","type":"article-journal","volume":"99"},"uris":["http://www.mendeley.com/documents/?uuid=10858953-e834-4ee0-b9bb-f3d59a451013"]}],"mendeley":{"formattedCitation":"[3]","plainTextFormattedCitation":"[3]","previouslyFormattedCitation":"[3]"},"properties":{"noteIndex":0},"schema":"https://github.com/citation-style-language/schema/raw/master/csl-citation.json"}</w:instrText>
      </w:r>
      <w:r w:rsidR="007B5370">
        <w:fldChar w:fldCharType="separate"/>
      </w:r>
      <w:r w:rsidR="007B5370" w:rsidRPr="007B5370">
        <w:rPr>
          <w:noProof/>
        </w:rPr>
        <w:t>[3]</w:t>
      </w:r>
      <w:r w:rsidR="007B5370">
        <w:fldChar w:fldCharType="end"/>
      </w:r>
      <w:r w:rsidR="007B5370">
        <w:t>.</w:t>
      </w:r>
      <w:r>
        <w:rPr>
          <w:color w:val="000000"/>
          <w:shd w:val="clear" w:color="auto" w:fill="FFFFFF"/>
        </w:rPr>
        <w:t xml:space="preserve"> </w:t>
      </w:r>
    </w:p>
    <w:p w14:paraId="4E4A1CA1" w14:textId="07135075" w:rsidR="00E22189" w:rsidRDefault="00AA1757" w:rsidP="006E7C29">
      <w:pPr>
        <w:pBdr>
          <w:top w:val="nil"/>
          <w:left w:val="nil"/>
          <w:bottom w:val="nil"/>
          <w:right w:val="nil"/>
          <w:between w:val="nil"/>
        </w:pBdr>
        <w:shd w:val="clear" w:color="auto" w:fill="FFFFFF"/>
        <w:ind w:firstLine="397"/>
        <w:jc w:val="both"/>
        <w:rPr>
          <w:color w:val="000000"/>
        </w:rPr>
      </w:pPr>
      <w:r w:rsidRPr="005A7498">
        <w:rPr>
          <w:color w:val="000000"/>
          <w:shd w:val="clear" w:color="auto" w:fill="FFFFFF"/>
        </w:rPr>
        <w:t xml:space="preserve">Были сформированы </w:t>
      </w:r>
      <w:r w:rsidR="00EC5F76">
        <w:rPr>
          <w:color w:val="000000"/>
          <w:shd w:val="clear" w:color="auto" w:fill="FFFFFF"/>
        </w:rPr>
        <w:t>гетерогенные</w:t>
      </w:r>
      <w:r w:rsidRPr="005A7498">
        <w:rPr>
          <w:color w:val="000000"/>
          <w:shd w:val="clear" w:color="auto" w:fill="FFFFFF"/>
        </w:rPr>
        <w:t xml:space="preserve"> катализатор</w:t>
      </w:r>
      <w:r w:rsidR="00EC5F76">
        <w:rPr>
          <w:color w:val="000000"/>
          <w:shd w:val="clear" w:color="auto" w:fill="FFFFFF"/>
        </w:rPr>
        <w:t>ы</w:t>
      </w:r>
      <w:r w:rsidRPr="005A7498">
        <w:rPr>
          <w:color w:val="000000"/>
          <w:shd w:val="clear" w:color="auto" w:fill="FFFFFF"/>
        </w:rPr>
        <w:t>, содержащи</w:t>
      </w:r>
      <w:r>
        <w:rPr>
          <w:color w:val="000000"/>
          <w:shd w:val="clear" w:color="auto" w:fill="FFFFFF"/>
        </w:rPr>
        <w:t>е</w:t>
      </w:r>
      <w:r w:rsidRPr="005A7498">
        <w:rPr>
          <w:color w:val="000000"/>
          <w:shd w:val="clear" w:color="auto" w:fill="FFFFFF"/>
        </w:rPr>
        <w:t xml:space="preserve"> </w:t>
      </w:r>
      <w:r>
        <w:rPr>
          <w:color w:val="000000"/>
          <w:shd w:val="clear" w:color="auto" w:fill="FFFFFF"/>
        </w:rPr>
        <w:t>смесь</w:t>
      </w:r>
      <w:r w:rsidRPr="005A7498">
        <w:rPr>
          <w:color w:val="000000"/>
          <w:shd w:val="clear" w:color="auto" w:fill="FFFFFF"/>
        </w:rPr>
        <w:t xml:space="preserve"> дрожжей </w:t>
      </w:r>
      <w:r w:rsidRPr="005A7498">
        <w:rPr>
          <w:i/>
          <w:iCs/>
          <w:lang w:val="es-ES"/>
        </w:rPr>
        <w:t>Ogataea</w:t>
      </w:r>
      <w:r w:rsidRPr="005A7498">
        <w:rPr>
          <w:i/>
          <w:iCs/>
        </w:rPr>
        <w:t xml:space="preserve"> </w:t>
      </w:r>
      <w:r w:rsidRPr="005A7498">
        <w:rPr>
          <w:i/>
          <w:lang w:val="en-US"/>
        </w:rPr>
        <w:t>polymorpha</w:t>
      </w:r>
      <w:r w:rsidRPr="005A7498">
        <w:rPr>
          <w:i/>
        </w:rPr>
        <w:t xml:space="preserve"> </w:t>
      </w:r>
      <w:r w:rsidRPr="005A7498">
        <w:rPr>
          <w:iCs/>
          <w:lang w:val="es-ES"/>
        </w:rPr>
        <w:t>BKM</w:t>
      </w:r>
      <w:r w:rsidRPr="005A7498">
        <w:rPr>
          <w:iCs/>
        </w:rPr>
        <w:t xml:space="preserve"> </w:t>
      </w:r>
      <w:r w:rsidRPr="005A7498">
        <w:rPr>
          <w:iCs/>
          <w:lang w:val="es-ES"/>
        </w:rPr>
        <w:t>Y</w:t>
      </w:r>
      <w:r w:rsidRPr="005A7498">
        <w:rPr>
          <w:iCs/>
        </w:rPr>
        <w:t>-2559</w:t>
      </w:r>
      <w:r w:rsidRPr="005A7498">
        <w:rPr>
          <w:i/>
          <w:iCs/>
        </w:rPr>
        <w:t xml:space="preserve">, </w:t>
      </w:r>
      <w:r w:rsidRPr="005A7498">
        <w:rPr>
          <w:i/>
          <w:iCs/>
          <w:lang w:val="es-ES"/>
        </w:rPr>
        <w:t>Arxula</w:t>
      </w:r>
      <w:r w:rsidRPr="005A7498">
        <w:rPr>
          <w:i/>
          <w:iCs/>
        </w:rPr>
        <w:t xml:space="preserve"> </w:t>
      </w:r>
      <w:r w:rsidRPr="005A7498">
        <w:rPr>
          <w:i/>
          <w:iCs/>
          <w:lang w:val="es-ES"/>
        </w:rPr>
        <w:t>adeninivorans</w:t>
      </w:r>
      <w:r w:rsidRPr="005A7498">
        <w:rPr>
          <w:i/>
          <w:iCs/>
        </w:rPr>
        <w:t xml:space="preserve"> </w:t>
      </w:r>
      <w:r w:rsidRPr="005A7498">
        <w:rPr>
          <w:iCs/>
        </w:rPr>
        <w:t xml:space="preserve">ВКМ </w:t>
      </w:r>
      <w:r w:rsidRPr="005A7498">
        <w:rPr>
          <w:iCs/>
          <w:lang w:val="es-ES"/>
        </w:rPr>
        <w:t>Y</w:t>
      </w:r>
      <w:r w:rsidRPr="005A7498">
        <w:rPr>
          <w:iCs/>
        </w:rPr>
        <w:t xml:space="preserve">-2677 и </w:t>
      </w:r>
      <w:r w:rsidRPr="005A7498">
        <w:rPr>
          <w:i/>
          <w:iCs/>
          <w:lang w:val="es-ES"/>
        </w:rPr>
        <w:t>Debaryomyces</w:t>
      </w:r>
      <w:r w:rsidRPr="005A7498">
        <w:rPr>
          <w:i/>
          <w:iCs/>
        </w:rPr>
        <w:t xml:space="preserve"> </w:t>
      </w:r>
      <w:r w:rsidRPr="005A7498">
        <w:rPr>
          <w:i/>
          <w:iCs/>
          <w:lang w:val="es-ES"/>
        </w:rPr>
        <w:t>hansenii</w:t>
      </w:r>
      <w:r w:rsidRPr="005A7498">
        <w:rPr>
          <w:i/>
          <w:iCs/>
        </w:rPr>
        <w:t xml:space="preserve"> </w:t>
      </w:r>
      <w:r w:rsidRPr="005A7498">
        <w:rPr>
          <w:iCs/>
          <w:lang w:val="es-ES"/>
        </w:rPr>
        <w:t>BKM</w:t>
      </w:r>
      <w:r w:rsidRPr="005A7498">
        <w:rPr>
          <w:iCs/>
        </w:rPr>
        <w:t xml:space="preserve"> </w:t>
      </w:r>
      <w:r w:rsidRPr="005A7498">
        <w:rPr>
          <w:iCs/>
          <w:lang w:val="es-ES"/>
        </w:rPr>
        <w:t>Y</w:t>
      </w:r>
      <w:r w:rsidRPr="005A7498">
        <w:rPr>
          <w:iCs/>
        </w:rPr>
        <w:t>-2482, иммобилизованн</w:t>
      </w:r>
      <w:r>
        <w:rPr>
          <w:iCs/>
        </w:rPr>
        <w:t>ую</w:t>
      </w:r>
      <w:r w:rsidRPr="005A7498">
        <w:rPr>
          <w:iCs/>
        </w:rPr>
        <w:t xml:space="preserve"> в </w:t>
      </w:r>
      <w:r w:rsidR="00D958AA">
        <w:rPr>
          <w:iCs/>
        </w:rPr>
        <w:t>кремнийорганический материал</w:t>
      </w:r>
      <w:r w:rsidRPr="005A7498">
        <w:rPr>
          <w:color w:val="000000"/>
          <w:shd w:val="clear" w:color="auto" w:fill="FFFFFF"/>
        </w:rPr>
        <w:t xml:space="preserve"> на </w:t>
      </w:r>
      <w:r w:rsidR="00D958AA">
        <w:rPr>
          <w:color w:val="000000"/>
          <w:shd w:val="clear" w:color="auto" w:fill="FFFFFF"/>
        </w:rPr>
        <w:t xml:space="preserve">основе </w:t>
      </w:r>
      <w:r w:rsidRPr="005A7498">
        <w:rPr>
          <w:color w:val="000000"/>
          <w:shd w:val="clear" w:color="auto" w:fill="FFFFFF"/>
        </w:rPr>
        <w:t>тетраэтоксисилана (ТЭОС) и метилтриэтоксисилана (МТЭС</w:t>
      </w:r>
      <w:r w:rsidR="00D958AA">
        <w:rPr>
          <w:color w:val="000000"/>
          <w:shd w:val="clear" w:color="auto" w:fill="FFFFFF"/>
        </w:rPr>
        <w:t>)</w:t>
      </w:r>
      <w:r w:rsidRPr="005A7498">
        <w:rPr>
          <w:color w:val="000000"/>
          <w:shd w:val="clear" w:color="auto" w:fill="FFFFFF"/>
        </w:rPr>
        <w:t xml:space="preserve">. С помощью </w:t>
      </w:r>
      <w:proofErr w:type="spellStart"/>
      <w:r w:rsidRPr="005A7498">
        <w:rPr>
          <w:color w:val="000000"/>
          <w:shd w:val="clear" w:color="auto" w:fill="FFFFFF"/>
        </w:rPr>
        <w:t>биосенсорного</w:t>
      </w:r>
      <w:proofErr w:type="spellEnd"/>
      <w:r w:rsidRPr="005A7498">
        <w:rPr>
          <w:color w:val="000000"/>
          <w:shd w:val="clear" w:color="auto" w:fill="FFFFFF"/>
        </w:rPr>
        <w:t xml:space="preserve"> подхода определена каталитическая активность инкапсулированных клеток. В кювету добавляли смесь на основе глюкозы и </w:t>
      </w:r>
      <w:proofErr w:type="spellStart"/>
      <w:r w:rsidRPr="005A7498">
        <w:rPr>
          <w:color w:val="000000"/>
          <w:shd w:val="clear" w:color="auto" w:fill="FFFFFF"/>
        </w:rPr>
        <w:t>гл</w:t>
      </w:r>
      <w:r w:rsidR="00EC5F76">
        <w:rPr>
          <w:color w:val="000000"/>
          <w:shd w:val="clear" w:color="auto" w:fill="FFFFFF"/>
        </w:rPr>
        <w:t>у</w:t>
      </w:r>
      <w:r w:rsidRPr="005A7498">
        <w:rPr>
          <w:color w:val="000000"/>
          <w:shd w:val="clear" w:color="auto" w:fill="FFFFFF"/>
        </w:rPr>
        <w:t>т</w:t>
      </w:r>
      <w:r w:rsidR="00EC5F76">
        <w:rPr>
          <w:color w:val="000000"/>
          <w:shd w:val="clear" w:color="auto" w:fill="FFFFFF"/>
        </w:rPr>
        <w:t>а</w:t>
      </w:r>
      <w:r w:rsidRPr="005A7498">
        <w:rPr>
          <w:color w:val="000000"/>
          <w:shd w:val="clear" w:color="auto" w:fill="FFFFFF"/>
        </w:rPr>
        <w:t>миновой</w:t>
      </w:r>
      <w:proofErr w:type="spellEnd"/>
      <w:r w:rsidRPr="005A7498">
        <w:rPr>
          <w:color w:val="000000"/>
          <w:shd w:val="clear" w:color="auto" w:fill="FFFFFF"/>
        </w:rPr>
        <w:t xml:space="preserve"> кислоты, </w:t>
      </w:r>
      <w:r w:rsidR="00EC5F76">
        <w:rPr>
          <w:color w:val="000000"/>
          <w:shd w:val="clear" w:color="auto" w:fill="FFFFFF"/>
        </w:rPr>
        <w:t>клетки</w:t>
      </w:r>
      <w:r w:rsidR="00D958AA">
        <w:rPr>
          <w:color w:val="000000"/>
          <w:shd w:val="clear" w:color="auto" w:fill="FFFFFF"/>
        </w:rPr>
        <w:t xml:space="preserve"> на поверхности электрода Кларка</w:t>
      </w:r>
      <w:r w:rsidR="00EC5F76">
        <w:rPr>
          <w:color w:val="000000"/>
          <w:shd w:val="clear" w:color="auto" w:fill="FFFFFF"/>
        </w:rPr>
        <w:t xml:space="preserve"> </w:t>
      </w:r>
      <w:r w:rsidRPr="005A7498">
        <w:rPr>
          <w:color w:val="000000"/>
          <w:shd w:val="clear" w:color="auto" w:fill="FFFFFF"/>
        </w:rPr>
        <w:t>окисляли субстрат, около электрода снижалась концентрация кислорода, что фиксировалось датчиком.</w:t>
      </w:r>
      <w:r w:rsidR="00EF7646" w:rsidRPr="00EF7646">
        <w:rPr>
          <w:color w:val="000000"/>
          <w:shd w:val="clear" w:color="auto" w:fill="FFFFFF"/>
        </w:rPr>
        <w:t xml:space="preserve"> </w:t>
      </w:r>
      <w:r w:rsidR="00EF7646">
        <w:rPr>
          <w:color w:val="000000"/>
          <w:shd w:val="clear" w:color="auto" w:fill="FFFFFF"/>
        </w:rPr>
        <w:t>Результаты представлены в таблице 1.</w:t>
      </w:r>
      <w:r>
        <w:rPr>
          <w:color w:val="000000"/>
          <w:shd w:val="clear" w:color="auto" w:fill="FFFFFF"/>
        </w:rPr>
        <w:t xml:space="preserve"> </w:t>
      </w:r>
    </w:p>
    <w:p w14:paraId="0B023BE0" w14:textId="77777777" w:rsidR="006E7C29" w:rsidRDefault="006E7C29" w:rsidP="006E7C29">
      <w:pPr>
        <w:pBdr>
          <w:top w:val="nil"/>
          <w:left w:val="nil"/>
          <w:bottom w:val="nil"/>
          <w:right w:val="nil"/>
          <w:between w:val="nil"/>
        </w:pBdr>
        <w:shd w:val="clear" w:color="auto" w:fill="FFFFFF"/>
        <w:ind w:firstLine="397"/>
        <w:jc w:val="both"/>
        <w:rPr>
          <w:color w:val="000000"/>
        </w:rPr>
      </w:pPr>
    </w:p>
    <w:p w14:paraId="044BBAED" w14:textId="7714CDBB" w:rsidR="00E22189" w:rsidRPr="005749B6" w:rsidRDefault="00E22189" w:rsidP="00E22189">
      <w:pPr>
        <w:shd w:val="clear" w:color="auto" w:fill="FFFFFF"/>
      </w:pPr>
      <w:r w:rsidRPr="005749B6">
        <w:t xml:space="preserve">Таблица 1. </w:t>
      </w:r>
      <w:r w:rsidR="00AA1757">
        <w:t>Параметры чувствительности</w:t>
      </w:r>
    </w:p>
    <w:tbl>
      <w:tblPr>
        <w:tblW w:w="0" w:type="auto"/>
        <w:jc w:val="center"/>
        <w:tblCellMar>
          <w:left w:w="0" w:type="dxa"/>
          <w:right w:w="0" w:type="dxa"/>
        </w:tblCellMar>
        <w:tblLook w:val="04A0" w:firstRow="1" w:lastRow="0" w:firstColumn="1" w:lastColumn="0" w:noHBand="0" w:noVBand="1"/>
      </w:tblPr>
      <w:tblGrid>
        <w:gridCol w:w="3109"/>
        <w:gridCol w:w="1559"/>
        <w:gridCol w:w="1559"/>
        <w:gridCol w:w="2937"/>
      </w:tblGrid>
      <w:tr w:rsidR="00AA1757" w:rsidRPr="00FF1903" w14:paraId="51EEB9BA" w14:textId="77777777" w:rsidTr="00D958AA">
        <w:trPr>
          <w:trHeight w:val="737"/>
          <w:jc w:val="center"/>
        </w:trPr>
        <w:tc>
          <w:tcPr>
            <w:tcW w:w="310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84EDA94" w14:textId="590E367A" w:rsidR="00AA1757" w:rsidRPr="00FF1903" w:rsidRDefault="00AA1757" w:rsidP="00AF3B24">
            <w:pPr>
              <w:shd w:val="clear" w:color="auto" w:fill="FFFFFF"/>
              <w:jc w:val="center"/>
              <w:rPr>
                <w:sz w:val="22"/>
                <w:szCs w:val="22"/>
              </w:rPr>
            </w:pPr>
            <w:r w:rsidRPr="00124808">
              <w:t>Параметр</w:t>
            </w:r>
          </w:p>
        </w:tc>
        <w:tc>
          <w:tcPr>
            <w:tcW w:w="3118" w:type="dxa"/>
            <w:gridSpan w:val="2"/>
            <w:tcBorders>
              <w:top w:val="single" w:sz="8" w:space="0" w:color="000000"/>
              <w:left w:val="single" w:sz="8" w:space="0" w:color="000000"/>
              <w:right w:val="single" w:sz="8" w:space="0" w:color="000000"/>
            </w:tcBorders>
            <w:shd w:val="clear" w:color="auto" w:fill="auto"/>
            <w:tcMar>
              <w:top w:w="15" w:type="dxa"/>
              <w:left w:w="88" w:type="dxa"/>
              <w:bottom w:w="0" w:type="dxa"/>
              <w:right w:w="88" w:type="dxa"/>
            </w:tcMar>
            <w:vAlign w:val="center"/>
            <w:hideMark/>
          </w:tcPr>
          <w:p w14:paraId="729F3D78" w14:textId="3D275C61" w:rsidR="00AA1757" w:rsidRPr="00FF1903" w:rsidRDefault="00AA1757" w:rsidP="00AF3B24">
            <w:pPr>
              <w:shd w:val="clear" w:color="auto" w:fill="FFFFFF"/>
              <w:jc w:val="center"/>
              <w:rPr>
                <w:sz w:val="22"/>
                <w:szCs w:val="22"/>
                <w:lang w:val="en-US"/>
              </w:rPr>
            </w:pPr>
            <w:r w:rsidRPr="00124808">
              <w:t>Иммобилизация в золь-гель матрицы</w:t>
            </w:r>
            <w:r>
              <w:t xml:space="preserve"> с содержанием МТЭС</w:t>
            </w:r>
            <w:r w:rsidRPr="00AB0928">
              <w:t xml:space="preserve">, </w:t>
            </w:r>
            <w:r>
              <w:t>об.</w:t>
            </w:r>
            <w:r w:rsidRPr="00AB0928">
              <w:t xml:space="preserve"> %</w:t>
            </w:r>
          </w:p>
        </w:tc>
        <w:tc>
          <w:tcPr>
            <w:tcW w:w="2937" w:type="dxa"/>
            <w:vMerge w:val="restart"/>
            <w:tcBorders>
              <w:top w:val="single" w:sz="8" w:space="0" w:color="000000"/>
              <w:left w:val="single" w:sz="8" w:space="0" w:color="000000"/>
              <w:right w:val="single" w:sz="8" w:space="0" w:color="000000"/>
            </w:tcBorders>
            <w:shd w:val="clear" w:color="auto" w:fill="auto"/>
            <w:tcMar>
              <w:top w:w="15" w:type="dxa"/>
              <w:left w:w="88" w:type="dxa"/>
              <w:bottom w:w="0" w:type="dxa"/>
              <w:right w:w="88" w:type="dxa"/>
            </w:tcMar>
            <w:vAlign w:val="center"/>
            <w:hideMark/>
          </w:tcPr>
          <w:p w14:paraId="6206217F" w14:textId="1964ABE5" w:rsidR="00AA1757" w:rsidRPr="00FF1903" w:rsidRDefault="00AA1757" w:rsidP="00D958AA">
            <w:pPr>
              <w:shd w:val="clear" w:color="auto" w:fill="FFFFFF"/>
              <w:jc w:val="center"/>
              <w:rPr>
                <w:sz w:val="22"/>
                <w:szCs w:val="22"/>
              </w:rPr>
            </w:pPr>
            <w:r>
              <w:t xml:space="preserve">Иммобилизация в гидрогель ПВС, модифицированного </w:t>
            </w:r>
            <w:r>
              <w:rPr>
                <w:lang w:val="en-US"/>
              </w:rPr>
              <w:t>N</w:t>
            </w:r>
            <w:r>
              <w:t>-винил-</w:t>
            </w:r>
            <w:proofErr w:type="spellStart"/>
            <w:r>
              <w:t>пирролидоном</w:t>
            </w:r>
            <w:proofErr w:type="spellEnd"/>
            <w:r>
              <w:t xml:space="preserve"> </w:t>
            </w:r>
            <w:r>
              <w:fldChar w:fldCharType="begin" w:fldLock="1"/>
            </w:r>
            <w:r w:rsidR="00D958AA">
              <w:instrText>ADDIN CSL_CITATION {"citationItems":[{"id":"ITEM-1","itemData":{"DOI":"https://doi.org/10.1016/j.enzmictec.2015.06.008","ISSN":"0141-0229","abstract":"Artificial microbial co-cultures were formed to develop the receptor element of a biosensor for assessment of biological oxygen demand (BOD). The co-cultures possessed broad substrate specificities and enabled assays of water and fermentation products within a broad BOD range (2.4–80mg/dm3) with a high correlation to the standard method (R=0.9988). The use of the co-cultures of the yeasts Pichia angusta, Arxula adeninivorans and Debaryomyces hansenii immobilized in N-vinylpyrrolidone-modified poly(vinyl alcohol) enabled developing a BOD biosensor possessing the characteristics not inferior to those in the known biosensors. The results are indicative of a potential of using these co-cultures as the receptor element base in prototype models of instruments for broad application.","author":[{"dropping-particle":"","family":"Yudina","given":"N.Yu.","non-dropping-particle":"","parse-names":false,"suffix":""},{"dropping-particle":"","family":"Arlyapov","given":"V A","non-dropping-particle":"","parse-names":false,"suffix":""},{"dropping-particle":"","family":"Chepurnova","given":"M A","non-dropping-particle":"","parse-names":false,"suffix":""},{"dropping-particle":"V","family":"Alferov","given":"S","non-dropping-particle":"","parse-names":false,"suffix":""},{"dropping-particle":"","family":"Reshetilov","given":"A N","non-dropping-particle":"","parse-names":false,"suffix":""}],"container-title":"Enzyme and Microbial Technology","id":"ITEM-1","issued":{"date-parts":[["2015"]]},"page":"46-53","title":"A yeast co-culture-based biosensor for determination of waste water contamination levels","type":"article-journal","volume":"78"},"uris":["http://www.mendeley.com/documents/?uuid=87a1f9c5-8d82-4114-af9a-7f10d3d0c748"]}],"mendeley":{"formattedCitation":"[6]","manualFormatting":"[4]","plainTextFormattedCitation":"[6]","previouslyFormattedCitation":"[6]"},"properties":{"noteIndex":0},"schema":"https://github.com/citation-style-language/schema/raw/master/csl-citation.json"}</w:instrText>
            </w:r>
            <w:r>
              <w:fldChar w:fldCharType="separate"/>
            </w:r>
            <w:r w:rsidR="007B5370" w:rsidRPr="007B5370">
              <w:rPr>
                <w:noProof/>
              </w:rPr>
              <w:t>[</w:t>
            </w:r>
            <w:r w:rsidR="00D958AA">
              <w:rPr>
                <w:noProof/>
              </w:rPr>
              <w:t>4</w:t>
            </w:r>
            <w:r w:rsidR="007B5370" w:rsidRPr="007B5370">
              <w:rPr>
                <w:noProof/>
              </w:rPr>
              <w:t>]</w:t>
            </w:r>
            <w:r>
              <w:fldChar w:fldCharType="end"/>
            </w:r>
            <w:r>
              <w:t xml:space="preserve"> </w:t>
            </w:r>
          </w:p>
        </w:tc>
      </w:tr>
      <w:tr w:rsidR="00AA1757" w:rsidRPr="00FF1903" w14:paraId="2251D1D2" w14:textId="77777777" w:rsidTr="00D958AA">
        <w:trPr>
          <w:trHeight w:val="45"/>
          <w:jc w:val="center"/>
        </w:trPr>
        <w:tc>
          <w:tcPr>
            <w:tcW w:w="3109" w:type="dxa"/>
            <w:vMerge/>
            <w:tcBorders>
              <w:top w:val="single" w:sz="8" w:space="0" w:color="000000"/>
              <w:left w:val="single" w:sz="8" w:space="0" w:color="000000"/>
              <w:bottom w:val="single" w:sz="8" w:space="0" w:color="000000"/>
              <w:right w:val="single" w:sz="8" w:space="0" w:color="000000"/>
            </w:tcBorders>
            <w:vAlign w:val="center"/>
            <w:hideMark/>
          </w:tcPr>
          <w:p w14:paraId="4BC2E7E2" w14:textId="77777777" w:rsidR="00AA1757" w:rsidRPr="00FF1903" w:rsidRDefault="00AA1757" w:rsidP="00AF3B24">
            <w:pPr>
              <w:shd w:val="clear" w:color="auto" w:fill="FFFFFF"/>
              <w:jc w:val="center"/>
              <w:rPr>
                <w:sz w:val="22"/>
                <w:szCs w:val="22"/>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FB53864" w14:textId="6C604899" w:rsidR="00AA1757" w:rsidRPr="00FF1903" w:rsidRDefault="00AA1757" w:rsidP="00AF3B24">
            <w:pPr>
              <w:shd w:val="clear" w:color="auto" w:fill="FFFFFF"/>
              <w:jc w:val="center"/>
              <w:rPr>
                <w:sz w:val="22"/>
                <w:szCs w:val="22"/>
              </w:rPr>
            </w:pPr>
            <w:r>
              <w:t>20</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469502" w14:textId="46361386" w:rsidR="00AA1757" w:rsidRPr="00FF1903" w:rsidRDefault="00AA1757" w:rsidP="00AF3B24">
            <w:pPr>
              <w:shd w:val="clear" w:color="auto" w:fill="FFFFFF"/>
              <w:jc w:val="center"/>
              <w:rPr>
                <w:sz w:val="22"/>
                <w:szCs w:val="22"/>
              </w:rPr>
            </w:pPr>
            <w:r>
              <w:t>75</w:t>
            </w:r>
          </w:p>
        </w:tc>
        <w:tc>
          <w:tcPr>
            <w:tcW w:w="2937" w:type="dxa"/>
            <w:vMerge/>
            <w:tcBorders>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21CF2148" w14:textId="0C5AD943" w:rsidR="00AA1757" w:rsidRPr="00FF1903" w:rsidRDefault="00AA1757" w:rsidP="00AF3B24">
            <w:pPr>
              <w:shd w:val="clear" w:color="auto" w:fill="FFFFFF"/>
              <w:jc w:val="center"/>
              <w:rPr>
                <w:sz w:val="22"/>
                <w:szCs w:val="22"/>
              </w:rPr>
            </w:pPr>
          </w:p>
        </w:tc>
      </w:tr>
      <w:tr w:rsidR="001A4A9D" w:rsidRPr="00FF1903" w14:paraId="7E201D62" w14:textId="77777777" w:rsidTr="00D958AA">
        <w:trPr>
          <w:trHeight w:val="45"/>
          <w:jc w:val="center"/>
        </w:trPr>
        <w:tc>
          <w:tcPr>
            <w:tcW w:w="3109"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37EB2D85" w14:textId="36F8278A" w:rsidR="001A4A9D" w:rsidRPr="00AA1757" w:rsidRDefault="00AA1757" w:rsidP="00AA1757">
            <w:pPr>
              <w:widowControl w:val="0"/>
              <w:contextualSpacing/>
              <w:jc w:val="center"/>
            </w:pPr>
            <w:r>
              <w:t xml:space="preserve">Коэффициент </w:t>
            </w:r>
            <w:proofErr w:type="spellStart"/>
            <w:proofErr w:type="gramStart"/>
            <w:r w:rsidR="001A4A9D">
              <w:t>чувстви</w:t>
            </w:r>
            <w:r>
              <w:t>-</w:t>
            </w:r>
            <w:r w:rsidR="001A4A9D">
              <w:t>тельности</w:t>
            </w:r>
            <w:proofErr w:type="spellEnd"/>
            <w:proofErr w:type="gramEnd"/>
            <w:r w:rsidR="001A4A9D">
              <w:t>,</w:t>
            </w:r>
            <w:r>
              <w:t xml:space="preserve"> </w:t>
            </w:r>
            <w:r w:rsidR="001A4A9D" w:rsidRPr="00124808">
              <w:t>10</w:t>
            </w:r>
            <w:r w:rsidR="001A4A9D" w:rsidRPr="00124808">
              <w:rPr>
                <w:vertAlign w:val="superscript"/>
              </w:rPr>
              <w:t>-3</w:t>
            </w:r>
            <w:r w:rsidR="001A4A9D" w:rsidRPr="00124808">
              <w:t>*мин</w:t>
            </w:r>
            <w:r w:rsidR="001A4A9D" w:rsidRPr="00124808">
              <w:rPr>
                <w:vertAlign w:val="superscript"/>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543E250D" w14:textId="586F7BC7" w:rsidR="001A4A9D" w:rsidRPr="00FF1903" w:rsidRDefault="001A4A9D" w:rsidP="001A4A9D">
            <w:pPr>
              <w:shd w:val="clear" w:color="auto" w:fill="FFFFFF"/>
              <w:ind w:left="-87" w:right="-78"/>
              <w:jc w:val="center"/>
              <w:rPr>
                <w:sz w:val="22"/>
                <w:szCs w:val="22"/>
              </w:rPr>
            </w:pPr>
            <w:r w:rsidRPr="00124808">
              <w:t>27 ± 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F20467A" w14:textId="506E44A9" w:rsidR="001A4A9D" w:rsidRPr="00FF1903" w:rsidRDefault="001A4A9D" w:rsidP="001A4A9D">
            <w:pPr>
              <w:shd w:val="clear" w:color="auto" w:fill="FFFFFF"/>
              <w:ind w:left="-101" w:right="-64"/>
              <w:jc w:val="center"/>
              <w:rPr>
                <w:sz w:val="22"/>
                <w:szCs w:val="22"/>
              </w:rPr>
            </w:pPr>
            <w:r>
              <w:t>39</w:t>
            </w:r>
            <w:r w:rsidRPr="00124808">
              <w:t>± 2</w:t>
            </w:r>
          </w:p>
        </w:tc>
        <w:tc>
          <w:tcPr>
            <w:tcW w:w="2937"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43C9F98" w14:textId="712F6103" w:rsidR="001A4A9D" w:rsidRPr="00FF1903" w:rsidRDefault="001A4A9D" w:rsidP="001A4A9D">
            <w:pPr>
              <w:shd w:val="clear" w:color="auto" w:fill="FFFFFF"/>
              <w:jc w:val="center"/>
              <w:rPr>
                <w:sz w:val="22"/>
                <w:szCs w:val="22"/>
              </w:rPr>
            </w:pPr>
            <w:r w:rsidRPr="00124808">
              <w:t>0,6±0,1</w:t>
            </w:r>
          </w:p>
        </w:tc>
        <w:bookmarkStart w:id="0" w:name="_GoBack"/>
        <w:bookmarkEnd w:id="0"/>
      </w:tr>
      <w:tr w:rsidR="001A4A9D" w:rsidRPr="00FF1903" w14:paraId="5525624D" w14:textId="77777777" w:rsidTr="00D958AA">
        <w:trPr>
          <w:trHeight w:val="45"/>
          <w:jc w:val="center"/>
        </w:trPr>
        <w:tc>
          <w:tcPr>
            <w:tcW w:w="3109"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3114350F" w14:textId="7F52ADA0" w:rsidR="001A4A9D" w:rsidRPr="00FF1903" w:rsidRDefault="001A4A9D" w:rsidP="001A4A9D">
            <w:pPr>
              <w:shd w:val="clear" w:color="auto" w:fill="FFFFFF"/>
              <w:jc w:val="center"/>
              <w:rPr>
                <w:sz w:val="22"/>
                <w:szCs w:val="22"/>
              </w:rPr>
            </w:pPr>
            <w:r w:rsidRPr="00124808">
              <w:t>Диапазон определяемых концентраций, мг/дм</w:t>
            </w:r>
            <w:r w:rsidRPr="00124808">
              <w:rPr>
                <w:vertAlign w:val="superscript"/>
              </w:rPr>
              <w:t>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444F0C" w14:textId="2541C5FA" w:rsidR="001A4A9D" w:rsidRPr="00FF1903" w:rsidRDefault="001A4A9D" w:rsidP="001A4A9D">
            <w:pPr>
              <w:shd w:val="clear" w:color="auto" w:fill="FFFFFF"/>
              <w:ind w:left="-113" w:right="-79"/>
              <w:jc w:val="center"/>
              <w:rPr>
                <w:sz w:val="22"/>
                <w:szCs w:val="22"/>
              </w:rPr>
            </w:pPr>
            <w:r w:rsidRPr="00124808">
              <w:t>3,7−22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996DF5" w14:textId="3E36C402" w:rsidR="001A4A9D" w:rsidRPr="00FF1903" w:rsidRDefault="001A4A9D" w:rsidP="001A4A9D">
            <w:pPr>
              <w:shd w:val="clear" w:color="auto" w:fill="FFFFFF"/>
              <w:ind w:left="-145" w:right="-91"/>
              <w:jc w:val="center"/>
              <w:rPr>
                <w:sz w:val="22"/>
                <w:szCs w:val="22"/>
              </w:rPr>
            </w:pPr>
            <w:r>
              <w:t>1</w:t>
            </w:r>
            <w:r w:rsidRPr="00124808">
              <w:t>,</w:t>
            </w:r>
            <w:r>
              <w:t>4</w:t>
            </w:r>
            <w:r w:rsidRPr="00124808">
              <w:t>-26</w:t>
            </w:r>
          </w:p>
        </w:tc>
        <w:tc>
          <w:tcPr>
            <w:tcW w:w="29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1C0760" w14:textId="63F3F8DC" w:rsidR="001A4A9D" w:rsidRPr="00FF1903" w:rsidRDefault="001A4A9D" w:rsidP="001A4A9D">
            <w:pPr>
              <w:shd w:val="clear" w:color="auto" w:fill="FFFFFF"/>
              <w:jc w:val="center"/>
              <w:rPr>
                <w:sz w:val="22"/>
                <w:szCs w:val="22"/>
              </w:rPr>
            </w:pPr>
            <w:r w:rsidRPr="00124808">
              <w:t>2,4-80</w:t>
            </w:r>
          </w:p>
        </w:tc>
      </w:tr>
      <w:tr w:rsidR="001A4A9D" w:rsidRPr="00FF1903" w14:paraId="7FD08F52" w14:textId="77777777" w:rsidTr="00D958AA">
        <w:trPr>
          <w:trHeight w:val="45"/>
          <w:jc w:val="center"/>
        </w:trPr>
        <w:tc>
          <w:tcPr>
            <w:tcW w:w="3109"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54A29780" w14:textId="05E3237D" w:rsidR="001A4A9D" w:rsidRPr="00FF1903" w:rsidRDefault="001A4A9D" w:rsidP="001A4A9D">
            <w:pPr>
              <w:shd w:val="clear" w:color="auto" w:fill="FFFFFF"/>
              <w:jc w:val="center"/>
              <w:rPr>
                <w:sz w:val="22"/>
                <w:szCs w:val="22"/>
                <w:lang w:val="en-US"/>
              </w:rPr>
            </w:pPr>
            <w:r>
              <w:t xml:space="preserve">Относительное стандартное </w:t>
            </w:r>
            <w:r w:rsidRPr="00124808">
              <w:t>отклонение,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9AFF0F" w14:textId="219EEA23" w:rsidR="001A4A9D" w:rsidRPr="00FF1903" w:rsidRDefault="001A4A9D" w:rsidP="001A4A9D">
            <w:pPr>
              <w:shd w:val="clear" w:color="auto" w:fill="FFFFFF"/>
              <w:ind w:left="-113" w:right="-79"/>
              <w:jc w:val="center"/>
              <w:rPr>
                <w:sz w:val="22"/>
                <w:szCs w:val="22"/>
                <w:lang w:val="en-US"/>
              </w:rPr>
            </w:pPr>
            <w:r w:rsidRPr="00124808">
              <w:t>5,3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37E26D" w14:textId="68890EDD" w:rsidR="001A4A9D" w:rsidRPr="00FF1903" w:rsidRDefault="001A4A9D" w:rsidP="001A4A9D">
            <w:pPr>
              <w:shd w:val="clear" w:color="auto" w:fill="FFFFFF"/>
              <w:ind w:left="-145" w:right="-91"/>
              <w:jc w:val="center"/>
              <w:rPr>
                <w:sz w:val="22"/>
                <w:szCs w:val="22"/>
                <w:lang w:val="en-US"/>
              </w:rPr>
            </w:pPr>
            <w:r w:rsidRPr="00124808">
              <w:t>4,2</w:t>
            </w:r>
          </w:p>
        </w:tc>
        <w:tc>
          <w:tcPr>
            <w:tcW w:w="29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F652BB" w14:textId="6D0C1F6E" w:rsidR="001A4A9D" w:rsidRPr="00FF1903" w:rsidRDefault="001A4A9D" w:rsidP="001A4A9D">
            <w:pPr>
              <w:shd w:val="clear" w:color="auto" w:fill="FFFFFF"/>
              <w:jc w:val="center"/>
              <w:rPr>
                <w:sz w:val="22"/>
                <w:szCs w:val="22"/>
                <w:lang w:val="en-US"/>
              </w:rPr>
            </w:pPr>
            <w:r w:rsidRPr="00124808">
              <w:t>8,9</w:t>
            </w:r>
          </w:p>
        </w:tc>
      </w:tr>
    </w:tbl>
    <w:p w14:paraId="6911A209" w14:textId="3406B90F" w:rsidR="00AA1757" w:rsidRPr="00BF36F8" w:rsidRDefault="007B5370" w:rsidP="007B5370">
      <w:pPr>
        <w:pBdr>
          <w:top w:val="nil"/>
          <w:left w:val="nil"/>
          <w:bottom w:val="nil"/>
          <w:right w:val="nil"/>
          <w:between w:val="nil"/>
        </w:pBdr>
        <w:shd w:val="clear" w:color="auto" w:fill="FFFFFF"/>
        <w:ind w:firstLine="397"/>
        <w:jc w:val="both"/>
        <w:rPr>
          <w:color w:val="000000"/>
        </w:rPr>
      </w:pPr>
      <w:proofErr w:type="spellStart"/>
      <w:r>
        <w:rPr>
          <w:color w:val="000000"/>
        </w:rPr>
        <w:t>Биогибридный</w:t>
      </w:r>
      <w:proofErr w:type="spellEnd"/>
      <w:r w:rsidR="00AA1757">
        <w:rPr>
          <w:color w:val="000000"/>
        </w:rPr>
        <w:t xml:space="preserve"> </w:t>
      </w:r>
      <w:r>
        <w:rPr>
          <w:color w:val="000000"/>
        </w:rPr>
        <w:t xml:space="preserve">материал </w:t>
      </w:r>
      <w:r w:rsidR="00AA1757">
        <w:rPr>
          <w:color w:val="000000"/>
        </w:rPr>
        <w:t>с содержанием МТЭС 75 об</w:t>
      </w:r>
      <w:proofErr w:type="gramStart"/>
      <w:r w:rsidR="00AA1757">
        <w:rPr>
          <w:color w:val="000000"/>
        </w:rPr>
        <w:t>.</w:t>
      </w:r>
      <w:proofErr w:type="gramEnd"/>
      <w:r w:rsidR="00AA1757">
        <w:rPr>
          <w:color w:val="000000"/>
        </w:rPr>
        <w:t xml:space="preserve">% </w:t>
      </w:r>
      <w:proofErr w:type="gramStart"/>
      <w:r w:rsidR="00AA1757">
        <w:rPr>
          <w:color w:val="000000"/>
        </w:rPr>
        <w:t>о</w:t>
      </w:r>
      <w:proofErr w:type="gramEnd"/>
      <w:r w:rsidR="00AA1757">
        <w:rPr>
          <w:color w:val="000000"/>
        </w:rPr>
        <w:t>блада</w:t>
      </w:r>
      <w:r>
        <w:rPr>
          <w:color w:val="000000"/>
        </w:rPr>
        <w:t>е</w:t>
      </w:r>
      <w:r w:rsidR="00AA1757">
        <w:rPr>
          <w:color w:val="000000"/>
        </w:rPr>
        <w:t>т</w:t>
      </w:r>
      <w:r>
        <w:rPr>
          <w:color w:val="000000"/>
        </w:rPr>
        <w:t xml:space="preserve"> лучшими характеристиками чувствительности по сравнению с </w:t>
      </w:r>
      <w:proofErr w:type="spellStart"/>
      <w:r>
        <w:rPr>
          <w:color w:val="000000"/>
        </w:rPr>
        <w:t>биогибридным</w:t>
      </w:r>
      <w:proofErr w:type="spellEnd"/>
      <w:r>
        <w:rPr>
          <w:color w:val="000000"/>
        </w:rPr>
        <w:t xml:space="preserve"> материалом с другим содержанием МТЭС, а также по сравнению с гидрогелем ПВС с модификацией </w:t>
      </w:r>
      <w:r>
        <w:rPr>
          <w:lang w:val="en-US"/>
        </w:rPr>
        <w:t>N</w:t>
      </w:r>
      <w:r>
        <w:t>-винил-</w:t>
      </w:r>
      <w:proofErr w:type="spellStart"/>
      <w:r>
        <w:t>пирролидоном</w:t>
      </w:r>
      <w:proofErr w:type="spellEnd"/>
      <w:r>
        <w:t xml:space="preserve">. Это может быть связано с более эффективной инкапсуляцией дрожжевых клеток в золь-гель капсулы. </w:t>
      </w:r>
    </w:p>
    <w:p w14:paraId="022FC08C" w14:textId="009FB25D" w:rsidR="00A02163" w:rsidRPr="00A02163" w:rsidRDefault="005460AB" w:rsidP="00A02163">
      <w:pPr>
        <w:pBdr>
          <w:top w:val="nil"/>
          <w:left w:val="nil"/>
          <w:bottom w:val="nil"/>
          <w:right w:val="nil"/>
          <w:between w:val="nil"/>
        </w:pBdr>
        <w:shd w:val="clear" w:color="auto" w:fill="FFFFFF"/>
        <w:ind w:firstLine="397"/>
        <w:jc w:val="both"/>
        <w:rPr>
          <w:i/>
          <w:iCs/>
          <w:color w:val="000000"/>
        </w:rPr>
      </w:pPr>
      <w:r w:rsidRPr="005460AB">
        <w:rPr>
          <w:i/>
          <w:iCs/>
          <w:color w:val="000000"/>
        </w:rPr>
        <w:t>Работа выполнена при поддержке гранта Президента Российской Федерации для государственной поддержки молодых ученых - кандидатов наук договор № МК-4049.2022.1.3</w:t>
      </w:r>
      <w:r w:rsidR="00A02163" w:rsidRPr="00A02163">
        <w:rPr>
          <w:i/>
          <w:iCs/>
          <w:color w:val="000000"/>
        </w:rPr>
        <w:t>.</w:t>
      </w:r>
    </w:p>
    <w:p w14:paraId="0000000E" w14:textId="77777777" w:rsidR="00130241" w:rsidRPr="005460AB" w:rsidRDefault="00EB1F49">
      <w:pPr>
        <w:pBdr>
          <w:top w:val="nil"/>
          <w:left w:val="nil"/>
          <w:bottom w:val="nil"/>
          <w:right w:val="nil"/>
          <w:between w:val="nil"/>
        </w:pBdr>
        <w:shd w:val="clear" w:color="auto" w:fill="FFFFFF"/>
        <w:jc w:val="center"/>
        <w:rPr>
          <w:color w:val="000000"/>
          <w:lang w:val="en-US"/>
        </w:rPr>
      </w:pPr>
      <w:r>
        <w:rPr>
          <w:b/>
          <w:color w:val="000000"/>
        </w:rPr>
        <w:t>Литература</w:t>
      </w:r>
    </w:p>
    <w:p w14:paraId="6CFD44BF" w14:textId="37178AF0" w:rsidR="007B5370" w:rsidRPr="005460AB" w:rsidRDefault="007B5370" w:rsidP="007B5370">
      <w:pPr>
        <w:widowControl w:val="0"/>
        <w:autoSpaceDE w:val="0"/>
        <w:autoSpaceDN w:val="0"/>
        <w:adjustRightInd w:val="0"/>
        <w:rPr>
          <w:noProof/>
          <w:lang w:val="en-US"/>
        </w:rPr>
      </w:pPr>
      <w:r>
        <w:rPr>
          <w:color w:val="000000"/>
          <w:lang w:val="en-US"/>
        </w:rPr>
        <w:fldChar w:fldCharType="begin" w:fldLock="1"/>
      </w:r>
      <w:r>
        <w:rPr>
          <w:color w:val="000000"/>
          <w:lang w:val="en-US"/>
        </w:rPr>
        <w:instrText xml:space="preserve">ADDIN Mendeley Bibliography CSL_BIBLIOGRAPHY </w:instrText>
      </w:r>
      <w:r>
        <w:rPr>
          <w:color w:val="000000"/>
          <w:lang w:val="en-US"/>
        </w:rPr>
        <w:fldChar w:fldCharType="separate"/>
      </w:r>
      <w:r w:rsidRPr="007B5370">
        <w:rPr>
          <w:noProof/>
          <w:lang w:val="en-US"/>
        </w:rPr>
        <w:t xml:space="preserve">1. Sonawane J.M., Ezugwu C.I., Ghosh P.C. Microbial fuel cell-based biological oxygen demand sensors for monitoring wastewater: state-of-the-art and practical applications // ACS sensors. </w:t>
      </w:r>
      <w:r w:rsidRPr="005460AB">
        <w:rPr>
          <w:noProof/>
          <w:lang w:val="en-US"/>
        </w:rPr>
        <w:t>ACS Publications, 2020. Vol. 5, № 8. P. 2297–2316.</w:t>
      </w:r>
    </w:p>
    <w:p w14:paraId="4B434DF8" w14:textId="5471F69A" w:rsidR="007B5370" w:rsidRPr="005460AB" w:rsidRDefault="007B5370" w:rsidP="007B5370">
      <w:pPr>
        <w:widowControl w:val="0"/>
        <w:autoSpaceDE w:val="0"/>
        <w:autoSpaceDN w:val="0"/>
        <w:adjustRightInd w:val="0"/>
        <w:rPr>
          <w:noProof/>
          <w:lang w:val="en-US"/>
        </w:rPr>
      </w:pPr>
      <w:r w:rsidRPr="005460AB">
        <w:rPr>
          <w:noProof/>
          <w:lang w:val="en-US"/>
        </w:rPr>
        <w:t>2. Singh A. et al. Biological remediation technologies for dyes and heavy metals in wastewater treatment: New insight // Bioresour. Technol. Elsevier, 2022. Vol. 343. P. 126154.</w:t>
      </w:r>
    </w:p>
    <w:p w14:paraId="70130339" w14:textId="45A0D9A6" w:rsidR="007B5370" w:rsidRPr="005460AB" w:rsidRDefault="007B5370" w:rsidP="007B5370">
      <w:pPr>
        <w:widowControl w:val="0"/>
        <w:autoSpaceDE w:val="0"/>
        <w:autoSpaceDN w:val="0"/>
        <w:adjustRightInd w:val="0"/>
        <w:rPr>
          <w:noProof/>
          <w:lang w:val="en-US"/>
        </w:rPr>
      </w:pPr>
      <w:r w:rsidRPr="007B5370">
        <w:rPr>
          <w:noProof/>
          <w:lang w:val="en-US"/>
        </w:rPr>
        <w:t xml:space="preserve">3. Eş I., Vieira J.D.G., Amaral A.C. Principles, techniques, and applications of biocatalyst immobilization for industrial application // Appl. </w:t>
      </w:r>
      <w:r w:rsidRPr="005460AB">
        <w:rPr>
          <w:noProof/>
          <w:lang w:val="en-US"/>
        </w:rPr>
        <w:t>Microbiol. Biotechnol. 2015. Vol. 99, № 5. P. 2065–2082.</w:t>
      </w:r>
    </w:p>
    <w:p w14:paraId="1E33F50B" w14:textId="516645C2" w:rsidR="007B5370" w:rsidRPr="007B5370" w:rsidRDefault="00D958AA" w:rsidP="007B5370">
      <w:pPr>
        <w:widowControl w:val="0"/>
        <w:autoSpaceDE w:val="0"/>
        <w:autoSpaceDN w:val="0"/>
        <w:adjustRightInd w:val="0"/>
        <w:rPr>
          <w:noProof/>
        </w:rPr>
      </w:pPr>
      <w:r w:rsidRPr="00D958AA">
        <w:rPr>
          <w:noProof/>
          <w:lang w:val="en-US"/>
        </w:rPr>
        <w:t>4</w:t>
      </w:r>
      <w:r w:rsidR="007B5370" w:rsidRPr="007B5370">
        <w:rPr>
          <w:noProof/>
          <w:lang w:val="en-US"/>
        </w:rPr>
        <w:t xml:space="preserve">. Yudina N.Y. et al. </w:t>
      </w:r>
      <w:r w:rsidR="007B5370" w:rsidRPr="005460AB">
        <w:rPr>
          <w:noProof/>
          <w:lang w:val="en-US"/>
        </w:rPr>
        <w:t xml:space="preserve">A yeast co-culture-based biosensor for determination of waste water contamination levels // Enzyme Microb. </w:t>
      </w:r>
      <w:r w:rsidR="007B5370" w:rsidRPr="007B5370">
        <w:rPr>
          <w:noProof/>
        </w:rPr>
        <w:t>Technol. 2015. Vol. 78. P. 46–53.</w:t>
      </w:r>
    </w:p>
    <w:p w14:paraId="2B7222B1" w14:textId="0E344A4E" w:rsidR="007B5370" w:rsidRPr="006E7C29" w:rsidRDefault="007B5370" w:rsidP="006E7C29">
      <w:pPr>
        <w:pBdr>
          <w:top w:val="nil"/>
          <w:left w:val="nil"/>
          <w:bottom w:val="nil"/>
          <w:right w:val="nil"/>
          <w:between w:val="nil"/>
        </w:pBdr>
        <w:shd w:val="clear" w:color="auto" w:fill="FFFFFF"/>
        <w:jc w:val="both"/>
      </w:pPr>
      <w:r>
        <w:rPr>
          <w:color w:val="000000"/>
          <w:lang w:val="en-US"/>
        </w:rPr>
        <w:fldChar w:fldCharType="end"/>
      </w:r>
    </w:p>
    <w:sectPr w:rsidR="007B5370" w:rsidRPr="006E7C29">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241"/>
    <w:rsid w:val="00063966"/>
    <w:rsid w:val="00086081"/>
    <w:rsid w:val="00101A1C"/>
    <w:rsid w:val="00106375"/>
    <w:rsid w:val="00116478"/>
    <w:rsid w:val="00130241"/>
    <w:rsid w:val="001A4A9D"/>
    <w:rsid w:val="001E61C2"/>
    <w:rsid w:val="001F0493"/>
    <w:rsid w:val="002264EE"/>
    <w:rsid w:val="0023307C"/>
    <w:rsid w:val="0031361E"/>
    <w:rsid w:val="00391C38"/>
    <w:rsid w:val="003B76D6"/>
    <w:rsid w:val="00477FC5"/>
    <w:rsid w:val="004A26A3"/>
    <w:rsid w:val="004F0EDF"/>
    <w:rsid w:val="00522BF1"/>
    <w:rsid w:val="005460AB"/>
    <w:rsid w:val="00590166"/>
    <w:rsid w:val="006E7C29"/>
    <w:rsid w:val="006F7A19"/>
    <w:rsid w:val="00730D28"/>
    <w:rsid w:val="00775389"/>
    <w:rsid w:val="00797838"/>
    <w:rsid w:val="007B5370"/>
    <w:rsid w:val="007C36D8"/>
    <w:rsid w:val="007D153A"/>
    <w:rsid w:val="007F2744"/>
    <w:rsid w:val="008931BE"/>
    <w:rsid w:val="00921D45"/>
    <w:rsid w:val="00970391"/>
    <w:rsid w:val="009A66DB"/>
    <w:rsid w:val="009B2F80"/>
    <w:rsid w:val="009B3300"/>
    <w:rsid w:val="009F3380"/>
    <w:rsid w:val="00A02163"/>
    <w:rsid w:val="00A314FE"/>
    <w:rsid w:val="00A36443"/>
    <w:rsid w:val="00AA1757"/>
    <w:rsid w:val="00BF36F8"/>
    <w:rsid w:val="00BF4622"/>
    <w:rsid w:val="00CD00B1"/>
    <w:rsid w:val="00D22306"/>
    <w:rsid w:val="00D42542"/>
    <w:rsid w:val="00D8121C"/>
    <w:rsid w:val="00D958AA"/>
    <w:rsid w:val="00E22189"/>
    <w:rsid w:val="00E74069"/>
    <w:rsid w:val="00EB1F49"/>
    <w:rsid w:val="00EC5F76"/>
    <w:rsid w:val="00EF7646"/>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UnresolvedMention">
    <w:name w:val="Unresolved Mention"/>
    <w:basedOn w:val="a0"/>
    <w:uiPriority w:val="99"/>
    <w:semiHidden/>
    <w:unhideWhenUsed/>
    <w:rsid w:val="00F865B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UnresolvedMention">
    <w:name w:val="Unresolved Mention"/>
    <w:basedOn w:val="a0"/>
    <w:uiPriority w:val="99"/>
    <w:semiHidden/>
    <w:unhideWhenUsed/>
    <w:rsid w:val="00F8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art.liza@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93805-946C-4BEF-B907-A194192E1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1524</Words>
  <Characters>8689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10193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9</cp:revision>
  <dcterms:created xsi:type="dcterms:W3CDTF">2023-02-14T11:33:00Z</dcterms:created>
  <dcterms:modified xsi:type="dcterms:W3CDTF">2023-03-13T07:17:00Z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da239f1e-4eaf-3d7b-982f-046585dd64b6</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http://www.zotero.org/styles/modern-humanities-research-association</vt:lpwstr>
  </property>
  <property fmtid="{D5CDD505-2E9C-101B-9397-08002B2CF9AE}" pid="14" name="Mendeley Recent Style Name 4_1">
    <vt:lpwstr>Modern Humanities Research Association 3rd edition (note with bibliography)</vt:lpwstr>
  </property>
  <property fmtid="{D5CDD505-2E9C-101B-9397-08002B2CF9AE}" pid="15" name="Mendeley Recent Style Id 5_1">
    <vt:lpwstr>http://www.zotero.org/styles/modern-language-association</vt:lpwstr>
  </property>
  <property fmtid="{D5CDD505-2E9C-101B-9397-08002B2CF9AE}" pid="16" name="Mendeley Recent Style Name 5_1">
    <vt:lpwstr>Modern Language Association 9th edition</vt:lpwstr>
  </property>
  <property fmtid="{D5CDD505-2E9C-101B-9397-08002B2CF9AE}" pid="17" name="Mendeley Recent Style Id 6_1">
    <vt:lpwstr>http://www.zotero.org/styles/multidisciplinary-digital-publishing-institute</vt:lpwstr>
  </property>
  <property fmtid="{D5CDD505-2E9C-101B-9397-08002B2CF9AE}" pid="18" name="Mendeley Recent Style Name 6_1">
    <vt:lpwstr>Multidisciplinary Digital Publishing Institute</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https://bibliostyle.ru/stil-gost-7-0-100-2018-dlya-mendeley-i-zotero-style-russian-gost-r-7-0-100-2018-csl/</vt:lpwstr>
  </property>
  <property fmtid="{D5CDD505-2E9C-101B-9397-08002B2CF9AE}" pid="24" name="Mendeley Recent Style Name 9_1">
    <vt:lpwstr>gost-r-7-0-100-2018-numeric-alphabetical</vt:lpwstr>
  </property>
</Properties>
</file>