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DF492" w14:textId="2B053DC9" w:rsidR="00724A4D" w:rsidRPr="00FE3132" w:rsidRDefault="005C6F56" w:rsidP="0079217C">
      <w:pPr>
        <w:spacing w:line="240" w:lineRule="auto"/>
        <w:jc w:val="center"/>
        <w:rPr>
          <w:rFonts w:cs="Times New Roman"/>
          <w:b/>
          <w:bCs/>
          <w:sz w:val="24"/>
          <w:szCs w:val="24"/>
        </w:rPr>
      </w:pPr>
      <w:r w:rsidRPr="00FE3132">
        <w:rPr>
          <w:rFonts w:cs="Times New Roman"/>
          <w:b/>
          <w:bCs/>
          <w:sz w:val="24"/>
          <w:szCs w:val="24"/>
        </w:rPr>
        <w:t xml:space="preserve">Влияние </w:t>
      </w:r>
      <w:r w:rsidR="009C575A" w:rsidRPr="00FE3132">
        <w:rPr>
          <w:rFonts w:cs="Times New Roman"/>
          <w:b/>
          <w:bCs/>
          <w:sz w:val="24"/>
          <w:szCs w:val="24"/>
        </w:rPr>
        <w:t>терпеноидов</w:t>
      </w:r>
      <w:r w:rsidR="000E435C" w:rsidRPr="00FE3132">
        <w:rPr>
          <w:rFonts w:cs="Times New Roman"/>
          <w:b/>
          <w:bCs/>
          <w:sz w:val="24"/>
          <w:szCs w:val="24"/>
        </w:rPr>
        <w:t xml:space="preserve"> </w:t>
      </w:r>
      <w:r w:rsidRPr="00FE3132">
        <w:rPr>
          <w:rFonts w:cs="Times New Roman"/>
          <w:b/>
          <w:bCs/>
          <w:sz w:val="24"/>
          <w:szCs w:val="24"/>
        </w:rPr>
        <w:t>на структурно-функциональные свойства липосомальных систем</w:t>
      </w:r>
    </w:p>
    <w:p w14:paraId="53BE4C9A" w14:textId="77777777" w:rsidR="005C6F56" w:rsidRPr="00FE3132" w:rsidRDefault="005C6F56" w:rsidP="0079217C">
      <w:pPr>
        <w:spacing w:line="240" w:lineRule="auto"/>
        <w:jc w:val="center"/>
        <w:rPr>
          <w:rFonts w:cs="Times New Roman"/>
          <w:b/>
          <w:bCs/>
          <w:i/>
          <w:iCs/>
          <w:sz w:val="24"/>
          <w:szCs w:val="24"/>
        </w:rPr>
      </w:pPr>
      <w:r w:rsidRPr="00FE3132">
        <w:rPr>
          <w:rFonts w:cs="Times New Roman"/>
          <w:b/>
          <w:bCs/>
          <w:i/>
          <w:iCs/>
          <w:sz w:val="24"/>
          <w:szCs w:val="24"/>
        </w:rPr>
        <w:t>Боброва Н.А., Кудряшова Е.В.</w:t>
      </w:r>
    </w:p>
    <w:p w14:paraId="067EE493" w14:textId="582DC088" w:rsidR="0079217C" w:rsidRPr="00FE3132" w:rsidRDefault="0079217C" w:rsidP="0079217C">
      <w:pPr>
        <w:spacing w:line="240" w:lineRule="auto"/>
        <w:jc w:val="center"/>
        <w:rPr>
          <w:rFonts w:cs="Times New Roman"/>
          <w:i/>
          <w:iCs/>
          <w:sz w:val="24"/>
          <w:szCs w:val="24"/>
        </w:rPr>
      </w:pPr>
      <w:r w:rsidRPr="00FE3132">
        <w:rPr>
          <w:rFonts w:cs="Times New Roman"/>
          <w:i/>
          <w:iCs/>
          <w:sz w:val="24"/>
          <w:szCs w:val="24"/>
        </w:rPr>
        <w:t>Студентка, 6 курс специалитета</w:t>
      </w:r>
    </w:p>
    <w:p w14:paraId="468D82E4" w14:textId="4862846B" w:rsidR="005C6F56" w:rsidRPr="00FE3132" w:rsidRDefault="005C6F56" w:rsidP="0079217C">
      <w:pPr>
        <w:spacing w:line="240" w:lineRule="auto"/>
        <w:jc w:val="center"/>
        <w:rPr>
          <w:rFonts w:cs="Times New Roman"/>
          <w:i/>
          <w:iCs/>
          <w:sz w:val="24"/>
          <w:szCs w:val="24"/>
        </w:rPr>
      </w:pPr>
      <w:r w:rsidRPr="00FE3132">
        <w:rPr>
          <w:rFonts w:cs="Times New Roman"/>
          <w:i/>
          <w:iCs/>
          <w:sz w:val="24"/>
          <w:szCs w:val="24"/>
        </w:rPr>
        <w:t>Московский государственный университет имени М.В. Ломоносова, химический факультет, Москва</w:t>
      </w:r>
    </w:p>
    <w:p w14:paraId="3DE34197" w14:textId="3AA8865B" w:rsidR="005C6F56" w:rsidRPr="00FE3132" w:rsidRDefault="0028370C" w:rsidP="0079217C">
      <w:pPr>
        <w:spacing w:line="240" w:lineRule="auto"/>
        <w:jc w:val="center"/>
        <w:rPr>
          <w:rStyle w:val="a3"/>
          <w:rFonts w:cs="Times New Roman"/>
          <w:i/>
          <w:iCs/>
          <w:sz w:val="24"/>
          <w:szCs w:val="24"/>
          <w:lang w:val="en-US"/>
        </w:rPr>
      </w:pPr>
      <w:r w:rsidRPr="00FE3132">
        <w:rPr>
          <w:rFonts w:cs="Times New Roman"/>
          <w:i/>
          <w:iCs/>
          <w:sz w:val="24"/>
          <w:szCs w:val="24"/>
          <w:lang w:val="en-US"/>
        </w:rPr>
        <w:t xml:space="preserve">E-mail: </w:t>
      </w:r>
      <w:hyperlink r:id="rId4" w:history="1">
        <w:r w:rsidRPr="00FE3132">
          <w:rPr>
            <w:rStyle w:val="a3"/>
            <w:rFonts w:cs="Times New Roman"/>
            <w:i/>
            <w:iCs/>
            <w:sz w:val="24"/>
            <w:szCs w:val="24"/>
            <w:lang w:val="en-US"/>
          </w:rPr>
          <w:t>nat.bobrowa@yandex.ru</w:t>
        </w:r>
      </w:hyperlink>
    </w:p>
    <w:p w14:paraId="15524DFA" w14:textId="0F62EE30" w:rsidR="005C6F56" w:rsidRPr="00FE3132" w:rsidRDefault="005C6F56" w:rsidP="0079217C">
      <w:pPr>
        <w:spacing w:line="240" w:lineRule="auto"/>
        <w:ind w:firstLine="397"/>
        <w:rPr>
          <w:rFonts w:cs="Times New Roman"/>
          <w:sz w:val="24"/>
          <w:szCs w:val="24"/>
        </w:rPr>
      </w:pPr>
      <w:r w:rsidRPr="00FE3132">
        <w:rPr>
          <w:rFonts w:cs="Times New Roman"/>
          <w:sz w:val="24"/>
          <w:szCs w:val="24"/>
        </w:rPr>
        <w:t xml:space="preserve">В клинической </w:t>
      </w:r>
      <w:r w:rsidR="006D2216">
        <w:rPr>
          <w:rFonts w:cs="Times New Roman"/>
          <w:sz w:val="24"/>
          <w:szCs w:val="24"/>
        </w:rPr>
        <w:t xml:space="preserve">практике </w:t>
      </w:r>
      <w:r w:rsidRPr="00FE3132">
        <w:rPr>
          <w:rFonts w:cs="Times New Roman"/>
          <w:sz w:val="24"/>
          <w:szCs w:val="24"/>
        </w:rPr>
        <w:t xml:space="preserve">одной из центральных проблем, является проблема высокой системной токсичности химиотерапевтических средств. Понизить токсичность можно путем понижения концентрации, а чтобы эффективность не понизилась вместе с концентрацией используют различные адъюванты. И растительные терпеноиды: </w:t>
      </w:r>
      <w:r w:rsidR="00690FDA" w:rsidRPr="00FE3132">
        <w:rPr>
          <w:rFonts w:cs="Times New Roman"/>
          <w:sz w:val="24"/>
          <w:szCs w:val="24"/>
        </w:rPr>
        <w:t>э</w:t>
      </w:r>
      <w:r w:rsidRPr="00FE3132">
        <w:rPr>
          <w:rFonts w:cs="Times New Roman"/>
          <w:sz w:val="24"/>
          <w:szCs w:val="24"/>
        </w:rPr>
        <w:t>вгенол, апиол, азарон, являются такими адъювантами. Они сами проявляют антибактериальные свойства, а кроме того, показывают синергизм с антибактериальными препаратами такими как моксифлок</w:t>
      </w:r>
      <w:r w:rsidR="006D2216">
        <w:rPr>
          <w:rFonts w:cs="Times New Roman"/>
          <w:sz w:val="24"/>
          <w:szCs w:val="24"/>
        </w:rPr>
        <w:t>с</w:t>
      </w:r>
      <w:r w:rsidRPr="00FE3132">
        <w:rPr>
          <w:rFonts w:cs="Times New Roman"/>
          <w:sz w:val="24"/>
          <w:szCs w:val="24"/>
        </w:rPr>
        <w:t>ацин и левофлок</w:t>
      </w:r>
      <w:r w:rsidR="006D2216">
        <w:rPr>
          <w:rFonts w:cs="Times New Roman"/>
          <w:sz w:val="24"/>
          <w:szCs w:val="24"/>
        </w:rPr>
        <w:t>с</w:t>
      </w:r>
      <w:r w:rsidRPr="00FE3132">
        <w:rPr>
          <w:rFonts w:cs="Times New Roman"/>
          <w:sz w:val="24"/>
          <w:szCs w:val="24"/>
        </w:rPr>
        <w:t>ацин.</w:t>
      </w:r>
      <w:r w:rsidR="00064B36">
        <w:rPr>
          <w:rFonts w:cs="Times New Roman"/>
          <w:sz w:val="24"/>
          <w:szCs w:val="24"/>
        </w:rPr>
        <w:t xml:space="preserve"> Ц</w:t>
      </w:r>
      <w:r w:rsidRPr="00FE3132">
        <w:rPr>
          <w:rFonts w:cs="Times New Roman"/>
          <w:sz w:val="24"/>
          <w:szCs w:val="24"/>
        </w:rPr>
        <w:t xml:space="preserve">елью данной работы является изучение влияния </w:t>
      </w:r>
      <w:r w:rsidR="00AE4A49" w:rsidRPr="00FE3132">
        <w:rPr>
          <w:rFonts w:cs="Times New Roman"/>
          <w:sz w:val="24"/>
          <w:szCs w:val="24"/>
        </w:rPr>
        <w:t>терпеноидов</w:t>
      </w:r>
      <w:r w:rsidRPr="00FE3132">
        <w:rPr>
          <w:rFonts w:cs="Times New Roman"/>
          <w:sz w:val="24"/>
          <w:szCs w:val="24"/>
        </w:rPr>
        <w:t xml:space="preserve"> на структуру и свойства</w:t>
      </w:r>
      <w:r w:rsidR="001C29AC" w:rsidRPr="00FE3132">
        <w:rPr>
          <w:rFonts w:cs="Times New Roman"/>
          <w:sz w:val="24"/>
          <w:szCs w:val="24"/>
        </w:rPr>
        <w:t xml:space="preserve"> липидного бислоя липосомальных систем.</w:t>
      </w:r>
      <w:r w:rsidR="00572338" w:rsidRPr="00FE3132">
        <w:rPr>
          <w:rFonts w:cs="Times New Roman"/>
          <w:sz w:val="24"/>
          <w:szCs w:val="24"/>
        </w:rPr>
        <w:t xml:space="preserve"> Предполагаемый механизм взаимодействия – образование дефектов в мембране и </w:t>
      </w:r>
      <w:r w:rsidR="006949F5" w:rsidRPr="00FE3132">
        <w:rPr>
          <w:rFonts w:cs="Times New Roman"/>
          <w:sz w:val="24"/>
          <w:szCs w:val="24"/>
        </w:rPr>
        <w:t xml:space="preserve">увеличение </w:t>
      </w:r>
      <w:r w:rsidR="00572338" w:rsidRPr="00FE3132">
        <w:rPr>
          <w:rFonts w:cs="Times New Roman"/>
          <w:sz w:val="24"/>
          <w:szCs w:val="24"/>
        </w:rPr>
        <w:t>проницаемост</w:t>
      </w:r>
      <w:r w:rsidR="006949F5" w:rsidRPr="00FE3132">
        <w:rPr>
          <w:rFonts w:cs="Times New Roman"/>
          <w:sz w:val="24"/>
          <w:szCs w:val="24"/>
        </w:rPr>
        <w:t>и</w:t>
      </w:r>
      <w:r w:rsidR="00572338" w:rsidRPr="00FE3132">
        <w:rPr>
          <w:rFonts w:cs="Times New Roman"/>
          <w:sz w:val="24"/>
          <w:szCs w:val="24"/>
        </w:rPr>
        <w:t xml:space="preserve"> для антибиотиков синергетического действия.</w:t>
      </w:r>
    </w:p>
    <w:p w14:paraId="67851EFF" w14:textId="21E9A989" w:rsidR="001C29AC" w:rsidRPr="00FE3132" w:rsidRDefault="001C29AC" w:rsidP="0079217C">
      <w:pPr>
        <w:spacing w:line="240" w:lineRule="auto"/>
        <w:ind w:firstLine="397"/>
        <w:rPr>
          <w:rFonts w:cs="Times New Roman"/>
          <w:sz w:val="24"/>
          <w:szCs w:val="24"/>
        </w:rPr>
      </w:pPr>
      <w:r w:rsidRPr="00FE3132">
        <w:rPr>
          <w:rFonts w:cs="Times New Roman"/>
          <w:sz w:val="24"/>
          <w:szCs w:val="24"/>
        </w:rPr>
        <w:t xml:space="preserve">В работе были использованы </w:t>
      </w:r>
      <w:r w:rsidR="00FF7D2B" w:rsidRPr="00FE3132">
        <w:rPr>
          <w:rFonts w:cs="Times New Roman"/>
          <w:sz w:val="24"/>
          <w:szCs w:val="24"/>
        </w:rPr>
        <w:t xml:space="preserve">анионные </w:t>
      </w:r>
      <w:r w:rsidRPr="00FE3132">
        <w:rPr>
          <w:rFonts w:cs="Times New Roman"/>
          <w:sz w:val="24"/>
          <w:szCs w:val="24"/>
        </w:rPr>
        <w:t>липосомы на основе дипальмитоилфосфатидилхолина (ДПФХ)</w:t>
      </w:r>
      <w:r w:rsidR="00323E46" w:rsidRPr="00FE3132">
        <w:rPr>
          <w:rFonts w:cs="Times New Roman"/>
          <w:sz w:val="24"/>
          <w:szCs w:val="24"/>
        </w:rPr>
        <w:t xml:space="preserve"> </w:t>
      </w:r>
      <w:r w:rsidRPr="00FE3132">
        <w:rPr>
          <w:rFonts w:cs="Times New Roman"/>
          <w:sz w:val="24"/>
          <w:szCs w:val="24"/>
        </w:rPr>
        <w:t>с 20-</w:t>
      </w:r>
      <w:r w:rsidR="006C7E15" w:rsidRPr="00FE3132">
        <w:rPr>
          <w:rFonts w:cs="Times New Roman"/>
          <w:sz w:val="24"/>
          <w:szCs w:val="24"/>
        </w:rPr>
        <w:t xml:space="preserve">% </w:t>
      </w:r>
      <w:r w:rsidRPr="00FE3132">
        <w:rPr>
          <w:rFonts w:cs="Times New Roman"/>
          <w:sz w:val="24"/>
          <w:szCs w:val="24"/>
        </w:rPr>
        <w:t>содержанием кардиолипина (КЛ)</w:t>
      </w:r>
      <w:r w:rsidR="006C7E15" w:rsidRPr="00FE3132">
        <w:rPr>
          <w:rFonts w:cs="Times New Roman"/>
          <w:sz w:val="24"/>
          <w:szCs w:val="24"/>
        </w:rPr>
        <w:t xml:space="preserve">. В качестве </w:t>
      </w:r>
      <w:r w:rsidR="00323E46" w:rsidRPr="00FE3132">
        <w:rPr>
          <w:rFonts w:cs="Times New Roman"/>
          <w:sz w:val="24"/>
          <w:szCs w:val="24"/>
        </w:rPr>
        <w:t xml:space="preserve">адъювантов </w:t>
      </w:r>
      <w:r w:rsidR="006C7E15" w:rsidRPr="00FE3132">
        <w:rPr>
          <w:rFonts w:cs="Times New Roman"/>
          <w:sz w:val="24"/>
          <w:szCs w:val="24"/>
        </w:rPr>
        <w:t xml:space="preserve">был </w:t>
      </w:r>
      <w:r w:rsidR="00323E46" w:rsidRPr="00FE3132">
        <w:rPr>
          <w:rFonts w:cs="Times New Roman"/>
          <w:sz w:val="24"/>
          <w:szCs w:val="24"/>
        </w:rPr>
        <w:t>исследован</w:t>
      </w:r>
      <w:r w:rsidR="00AE4A49" w:rsidRPr="00FE3132">
        <w:rPr>
          <w:rFonts w:cs="Times New Roman"/>
          <w:sz w:val="24"/>
          <w:szCs w:val="24"/>
        </w:rPr>
        <w:t>ы</w:t>
      </w:r>
      <w:r w:rsidR="00AA5F64">
        <w:rPr>
          <w:rFonts w:cs="Times New Roman"/>
          <w:sz w:val="24"/>
          <w:szCs w:val="24"/>
        </w:rPr>
        <w:t xml:space="preserve"> </w:t>
      </w:r>
      <w:r w:rsidR="006C7E15" w:rsidRPr="00FE3132">
        <w:rPr>
          <w:rFonts w:cs="Times New Roman"/>
          <w:sz w:val="24"/>
          <w:szCs w:val="24"/>
        </w:rPr>
        <w:t>эвгенол</w:t>
      </w:r>
      <w:r w:rsidR="00AE4A49" w:rsidRPr="00FE3132">
        <w:rPr>
          <w:rFonts w:cs="Times New Roman"/>
          <w:sz w:val="24"/>
          <w:szCs w:val="24"/>
        </w:rPr>
        <w:t xml:space="preserve"> и апиол. </w:t>
      </w:r>
      <w:r w:rsidRPr="00FE3132">
        <w:rPr>
          <w:rFonts w:cs="Times New Roman"/>
          <w:sz w:val="24"/>
          <w:szCs w:val="24"/>
        </w:rPr>
        <w:t>Для выяснения механизма комплексообразования липосом с терпеноид</w:t>
      </w:r>
      <w:r w:rsidR="000E435C" w:rsidRPr="00FE3132">
        <w:rPr>
          <w:rFonts w:cs="Times New Roman"/>
          <w:sz w:val="24"/>
          <w:szCs w:val="24"/>
        </w:rPr>
        <w:t>а</w:t>
      </w:r>
      <w:r w:rsidRPr="00FE3132">
        <w:rPr>
          <w:rFonts w:cs="Times New Roman"/>
          <w:sz w:val="24"/>
          <w:szCs w:val="24"/>
        </w:rPr>
        <w:t>м</w:t>
      </w:r>
      <w:r w:rsidR="000E435C" w:rsidRPr="00FE3132">
        <w:rPr>
          <w:rFonts w:cs="Times New Roman"/>
          <w:sz w:val="24"/>
          <w:szCs w:val="24"/>
        </w:rPr>
        <w:t>и</w:t>
      </w:r>
      <w:r w:rsidRPr="00FE3132">
        <w:rPr>
          <w:rFonts w:cs="Times New Roman"/>
          <w:sz w:val="24"/>
          <w:szCs w:val="24"/>
        </w:rPr>
        <w:t xml:space="preserve"> и определения физико-химических параметров комплексов в работе использовался метод ИК-спектроскопии Фурье, который позволяет получать детальную информацию о тонкой структуре надмолекулярных систем, сайтах взаимодействия макромолекул с лигандами, микроокружении функциональных групп</w:t>
      </w:r>
      <w:r w:rsidR="00323E46" w:rsidRPr="00FE3132">
        <w:rPr>
          <w:rFonts w:cs="Times New Roman"/>
          <w:sz w:val="24"/>
          <w:szCs w:val="24"/>
        </w:rPr>
        <w:t xml:space="preserve">, </w:t>
      </w:r>
      <w:r w:rsidR="000E435C" w:rsidRPr="00FE3132">
        <w:rPr>
          <w:rFonts w:cs="Times New Roman"/>
          <w:sz w:val="24"/>
          <w:szCs w:val="24"/>
        </w:rPr>
        <w:t xml:space="preserve">включение в бислой, </w:t>
      </w:r>
      <w:r w:rsidR="00323E46" w:rsidRPr="00FE3132">
        <w:rPr>
          <w:rFonts w:cs="Times New Roman"/>
          <w:sz w:val="24"/>
          <w:szCs w:val="24"/>
        </w:rPr>
        <w:t>определять параметры фазовых переходов.</w:t>
      </w:r>
    </w:p>
    <w:p w14:paraId="5510A401" w14:textId="70788B27" w:rsidR="00690FDA" w:rsidRPr="00FE3132" w:rsidRDefault="006C7E15" w:rsidP="0079217C">
      <w:pPr>
        <w:spacing w:line="240" w:lineRule="auto"/>
        <w:ind w:firstLine="397"/>
        <w:rPr>
          <w:rFonts w:cs="Times New Roman"/>
          <w:sz w:val="24"/>
          <w:szCs w:val="24"/>
        </w:rPr>
      </w:pPr>
      <w:r w:rsidRPr="00FE3132">
        <w:rPr>
          <w:rFonts w:cs="Times New Roman"/>
          <w:sz w:val="24"/>
          <w:szCs w:val="24"/>
        </w:rPr>
        <w:t xml:space="preserve">Полученные в работе данные показали, что взаимодействие </w:t>
      </w:r>
      <w:r w:rsidR="00842D01" w:rsidRPr="00FE3132">
        <w:rPr>
          <w:rFonts w:cs="Times New Roman"/>
          <w:sz w:val="24"/>
          <w:szCs w:val="24"/>
        </w:rPr>
        <w:t>адъювантов</w:t>
      </w:r>
      <w:r w:rsidRPr="00FE3132">
        <w:rPr>
          <w:rFonts w:cs="Times New Roman"/>
          <w:sz w:val="24"/>
          <w:szCs w:val="24"/>
        </w:rPr>
        <w:t xml:space="preserve"> с анионными липосомами приводит к высокочастотному сдвигу (</w:t>
      </w:r>
      <w:r w:rsidR="00842D01" w:rsidRPr="00FE3132">
        <w:rPr>
          <w:rFonts w:cs="Times New Roman"/>
          <w:sz w:val="24"/>
          <w:szCs w:val="24"/>
        </w:rPr>
        <w:t>табл. 1</w:t>
      </w:r>
      <w:r w:rsidRPr="00FE3132">
        <w:rPr>
          <w:rFonts w:cs="Times New Roman"/>
          <w:sz w:val="24"/>
          <w:szCs w:val="24"/>
        </w:rPr>
        <w:t xml:space="preserve">) полос поглощения </w:t>
      </w:r>
      <w:r w:rsidRPr="00FE3132">
        <w:rPr>
          <w:rFonts w:cs="Times New Roman"/>
          <w:sz w:val="24"/>
          <w:szCs w:val="24"/>
          <w:lang w:val="en-US"/>
        </w:rPr>
        <w:t>CH</w:t>
      </w:r>
      <w:r w:rsidRPr="00FE3132">
        <w:rPr>
          <w:rFonts w:cs="Times New Roman"/>
          <w:sz w:val="24"/>
          <w:szCs w:val="24"/>
          <w:vertAlign w:val="subscript"/>
        </w:rPr>
        <w:t>2</w:t>
      </w:r>
      <w:r w:rsidRPr="00FE3132">
        <w:rPr>
          <w:rFonts w:cs="Times New Roman"/>
          <w:sz w:val="24"/>
          <w:szCs w:val="24"/>
          <w:vertAlign w:val="subscript"/>
          <w:lang w:val="en-US"/>
        </w:rPr>
        <w:t>as</w:t>
      </w:r>
      <w:r w:rsidRPr="00FE3132">
        <w:rPr>
          <w:rFonts w:cs="Times New Roman"/>
          <w:sz w:val="24"/>
          <w:szCs w:val="24"/>
          <w:vertAlign w:val="subscript"/>
        </w:rPr>
        <w:t xml:space="preserve"> </w:t>
      </w:r>
      <w:r w:rsidRPr="00FE3132">
        <w:rPr>
          <w:rFonts w:cs="Times New Roman"/>
          <w:sz w:val="24"/>
          <w:szCs w:val="24"/>
        </w:rPr>
        <w:t xml:space="preserve">и </w:t>
      </w:r>
      <w:r w:rsidRPr="00FE3132">
        <w:rPr>
          <w:rFonts w:cs="Times New Roman"/>
          <w:sz w:val="24"/>
          <w:szCs w:val="24"/>
          <w:lang w:val="en-US"/>
        </w:rPr>
        <w:t>CH</w:t>
      </w:r>
      <w:r w:rsidRPr="00FE3132">
        <w:rPr>
          <w:rFonts w:cs="Times New Roman"/>
          <w:sz w:val="24"/>
          <w:szCs w:val="24"/>
          <w:vertAlign w:val="subscript"/>
        </w:rPr>
        <w:t>2</w:t>
      </w:r>
      <w:r w:rsidRPr="00FE3132">
        <w:rPr>
          <w:rFonts w:cs="Times New Roman"/>
          <w:sz w:val="24"/>
          <w:szCs w:val="24"/>
          <w:vertAlign w:val="subscript"/>
          <w:lang w:val="en-US"/>
        </w:rPr>
        <w:t>s</w:t>
      </w:r>
      <w:r w:rsidRPr="00FE3132">
        <w:rPr>
          <w:rFonts w:cs="Times New Roman"/>
          <w:sz w:val="24"/>
          <w:szCs w:val="24"/>
        </w:rPr>
        <w:t xml:space="preserve">, что указывает </w:t>
      </w:r>
      <w:r w:rsidR="00842D01" w:rsidRPr="00FE3132">
        <w:rPr>
          <w:rFonts w:cs="Times New Roman"/>
          <w:sz w:val="24"/>
          <w:szCs w:val="24"/>
        </w:rPr>
        <w:t xml:space="preserve">включение </w:t>
      </w:r>
      <w:r w:rsidR="00AA5F64">
        <w:rPr>
          <w:rFonts w:cs="Times New Roman"/>
          <w:sz w:val="24"/>
          <w:szCs w:val="24"/>
        </w:rPr>
        <w:t xml:space="preserve">лекарственных </w:t>
      </w:r>
      <w:r w:rsidR="00842D01" w:rsidRPr="00FE3132">
        <w:rPr>
          <w:rFonts w:cs="Times New Roman"/>
          <w:sz w:val="24"/>
          <w:szCs w:val="24"/>
        </w:rPr>
        <w:t>молекул в бислой.</w:t>
      </w:r>
      <w:r w:rsidR="000E435C" w:rsidRPr="00FE3132">
        <w:rPr>
          <w:rFonts w:cs="Times New Roman"/>
          <w:sz w:val="24"/>
          <w:szCs w:val="24"/>
        </w:rPr>
        <w:t xml:space="preserve"> </w:t>
      </w:r>
      <w:r w:rsidRPr="00FE3132">
        <w:rPr>
          <w:rFonts w:cs="Times New Roman"/>
          <w:sz w:val="24"/>
          <w:szCs w:val="24"/>
        </w:rPr>
        <w:t xml:space="preserve">В то же время для карбонильной группы наблюдается </w:t>
      </w:r>
      <w:r w:rsidR="00690FDA" w:rsidRPr="00FE3132">
        <w:rPr>
          <w:rFonts w:cs="Times New Roman"/>
          <w:sz w:val="24"/>
          <w:szCs w:val="24"/>
        </w:rPr>
        <w:t>высокочастотный</w:t>
      </w:r>
      <w:r w:rsidRPr="00FE3132">
        <w:rPr>
          <w:rFonts w:cs="Times New Roman"/>
          <w:sz w:val="24"/>
          <w:szCs w:val="24"/>
        </w:rPr>
        <w:t xml:space="preserve"> сдвиг (</w:t>
      </w:r>
      <w:r w:rsidR="00842D01" w:rsidRPr="00FE3132">
        <w:rPr>
          <w:rFonts w:cs="Times New Roman"/>
          <w:sz w:val="24"/>
          <w:szCs w:val="24"/>
        </w:rPr>
        <w:t>табл. 1</w:t>
      </w:r>
      <w:r w:rsidRPr="00FE3132">
        <w:rPr>
          <w:rFonts w:cs="Times New Roman"/>
          <w:sz w:val="24"/>
          <w:szCs w:val="24"/>
        </w:rPr>
        <w:t xml:space="preserve">), демонстрирующий </w:t>
      </w:r>
      <w:r w:rsidR="00C956FD" w:rsidRPr="00FE3132">
        <w:rPr>
          <w:rFonts w:cs="Times New Roman"/>
          <w:sz w:val="24"/>
          <w:szCs w:val="24"/>
        </w:rPr>
        <w:t xml:space="preserve">снижение степени гидратации данных групп. </w:t>
      </w:r>
      <w:r w:rsidR="002D3B8A" w:rsidRPr="00FE3132">
        <w:rPr>
          <w:rFonts w:cs="Times New Roman"/>
          <w:sz w:val="24"/>
          <w:szCs w:val="24"/>
        </w:rPr>
        <w:t>З</w:t>
      </w:r>
      <w:r w:rsidR="000E435C" w:rsidRPr="00FE3132">
        <w:rPr>
          <w:rFonts w:cs="Times New Roman"/>
          <w:sz w:val="24"/>
          <w:szCs w:val="24"/>
        </w:rPr>
        <w:t xml:space="preserve">агрузка </w:t>
      </w:r>
      <w:r w:rsidRPr="00FE3132">
        <w:rPr>
          <w:rFonts w:cs="Times New Roman"/>
          <w:sz w:val="24"/>
          <w:szCs w:val="24"/>
        </w:rPr>
        <w:t xml:space="preserve">липосом </w:t>
      </w:r>
      <w:r w:rsidR="000E435C" w:rsidRPr="00FE3132">
        <w:rPr>
          <w:rFonts w:cs="Times New Roman"/>
          <w:sz w:val="24"/>
          <w:szCs w:val="24"/>
        </w:rPr>
        <w:t>эвгенолом</w:t>
      </w:r>
      <w:r w:rsidR="002D3B8A" w:rsidRPr="00FE3132">
        <w:rPr>
          <w:rFonts w:cs="Times New Roman"/>
          <w:sz w:val="24"/>
          <w:szCs w:val="24"/>
        </w:rPr>
        <w:t xml:space="preserve"> и апиолом</w:t>
      </w:r>
      <w:r w:rsidR="000E435C" w:rsidRPr="00FE3132">
        <w:rPr>
          <w:rFonts w:cs="Times New Roman"/>
          <w:sz w:val="24"/>
          <w:szCs w:val="24"/>
        </w:rPr>
        <w:t xml:space="preserve"> </w:t>
      </w:r>
      <w:r w:rsidRPr="00FE3132">
        <w:rPr>
          <w:rFonts w:cs="Times New Roman"/>
          <w:sz w:val="24"/>
          <w:szCs w:val="24"/>
        </w:rPr>
        <w:t xml:space="preserve">влияет на </w:t>
      </w:r>
      <w:r w:rsidR="00690FDA" w:rsidRPr="00FE3132">
        <w:rPr>
          <w:rFonts w:cs="Times New Roman"/>
          <w:sz w:val="24"/>
          <w:szCs w:val="24"/>
        </w:rPr>
        <w:t>фазовый переход</w:t>
      </w:r>
      <w:r w:rsidRPr="00FE3132">
        <w:rPr>
          <w:rFonts w:cs="Times New Roman"/>
          <w:sz w:val="24"/>
          <w:szCs w:val="24"/>
        </w:rPr>
        <w:t>, что отражается принципиальным изменением хода кривой термограммы положения CH</w:t>
      </w:r>
      <w:r w:rsidRPr="00FE3132">
        <w:rPr>
          <w:rFonts w:cs="Times New Roman"/>
          <w:sz w:val="24"/>
          <w:szCs w:val="24"/>
          <w:vertAlign w:val="subscript"/>
        </w:rPr>
        <w:t xml:space="preserve">2as </w:t>
      </w:r>
      <w:r w:rsidRPr="00FE3132">
        <w:rPr>
          <w:rFonts w:cs="Times New Roman"/>
          <w:sz w:val="24"/>
          <w:szCs w:val="24"/>
        </w:rPr>
        <w:t>и CH</w:t>
      </w:r>
      <w:r w:rsidRPr="00FE3132">
        <w:rPr>
          <w:rFonts w:cs="Times New Roman"/>
          <w:sz w:val="24"/>
          <w:szCs w:val="24"/>
          <w:vertAlign w:val="subscript"/>
        </w:rPr>
        <w:t>2s</w:t>
      </w:r>
      <w:r w:rsidR="00690FDA" w:rsidRPr="00FE3132">
        <w:rPr>
          <w:rFonts w:cs="Times New Roman"/>
          <w:sz w:val="24"/>
          <w:szCs w:val="24"/>
        </w:rPr>
        <w:t xml:space="preserve">: </w:t>
      </w:r>
      <w:r w:rsidR="000E435C" w:rsidRPr="00FE3132">
        <w:rPr>
          <w:rFonts w:cs="Times New Roman"/>
          <w:sz w:val="24"/>
          <w:szCs w:val="24"/>
        </w:rPr>
        <w:t xml:space="preserve">наблюдается </w:t>
      </w:r>
      <w:r w:rsidR="00690FDA" w:rsidRPr="00FE3132">
        <w:rPr>
          <w:rFonts w:cs="Times New Roman"/>
          <w:sz w:val="24"/>
          <w:szCs w:val="24"/>
        </w:rPr>
        <w:t>образовани</w:t>
      </w:r>
      <w:r w:rsidR="000E435C" w:rsidRPr="00FE3132">
        <w:rPr>
          <w:rFonts w:cs="Times New Roman"/>
          <w:sz w:val="24"/>
          <w:szCs w:val="24"/>
        </w:rPr>
        <w:t>е</w:t>
      </w:r>
      <w:r w:rsidR="00690FDA" w:rsidRPr="00FE3132">
        <w:rPr>
          <w:rFonts w:cs="Times New Roman"/>
          <w:sz w:val="24"/>
          <w:szCs w:val="24"/>
        </w:rPr>
        <w:t xml:space="preserve"> двух микрофаз (богатой КЛ и </w:t>
      </w:r>
      <w:r w:rsidR="000E435C" w:rsidRPr="00FE3132">
        <w:rPr>
          <w:rFonts w:cs="Times New Roman"/>
          <w:sz w:val="24"/>
          <w:szCs w:val="24"/>
        </w:rPr>
        <w:t>о</w:t>
      </w:r>
      <w:r w:rsidR="00690FDA" w:rsidRPr="00FE3132">
        <w:rPr>
          <w:rFonts w:cs="Times New Roman"/>
          <w:sz w:val="24"/>
          <w:szCs w:val="24"/>
        </w:rPr>
        <w:t>бедн</w:t>
      </w:r>
      <w:r w:rsidR="000E435C" w:rsidRPr="00FE3132">
        <w:rPr>
          <w:rFonts w:cs="Times New Roman"/>
          <w:sz w:val="24"/>
          <w:szCs w:val="24"/>
        </w:rPr>
        <w:t>енной</w:t>
      </w:r>
      <w:r w:rsidR="00690FDA" w:rsidRPr="00FE3132">
        <w:rPr>
          <w:rFonts w:cs="Times New Roman"/>
          <w:sz w:val="24"/>
          <w:szCs w:val="24"/>
        </w:rPr>
        <w:t xml:space="preserve"> КЛ), что приводит к </w:t>
      </w:r>
      <w:r w:rsidR="000E435C" w:rsidRPr="00FE3132">
        <w:rPr>
          <w:rFonts w:cs="Times New Roman"/>
          <w:sz w:val="24"/>
          <w:szCs w:val="24"/>
        </w:rPr>
        <w:t xml:space="preserve">появлению </w:t>
      </w:r>
      <w:r w:rsidR="00690FDA" w:rsidRPr="00FE3132">
        <w:rPr>
          <w:rFonts w:cs="Times New Roman"/>
          <w:sz w:val="24"/>
          <w:szCs w:val="24"/>
        </w:rPr>
        <w:t>дву</w:t>
      </w:r>
      <w:r w:rsidR="000E435C" w:rsidRPr="00FE3132">
        <w:rPr>
          <w:rFonts w:cs="Times New Roman"/>
          <w:sz w:val="24"/>
          <w:szCs w:val="24"/>
        </w:rPr>
        <w:t>х отдельных участков</w:t>
      </w:r>
      <w:r w:rsidR="00743211" w:rsidRPr="00FE3132">
        <w:rPr>
          <w:rFonts w:cs="Times New Roman"/>
          <w:sz w:val="24"/>
          <w:szCs w:val="24"/>
        </w:rPr>
        <w:t xml:space="preserve"> фазового перехода</w:t>
      </w:r>
      <w:r w:rsidR="00B62B8C" w:rsidRPr="00FE3132">
        <w:rPr>
          <w:rFonts w:cs="Times New Roman"/>
          <w:sz w:val="24"/>
          <w:szCs w:val="24"/>
        </w:rPr>
        <w:t xml:space="preserve"> </w:t>
      </w:r>
      <w:r w:rsidR="000E435C" w:rsidRPr="00FE3132">
        <w:rPr>
          <w:rFonts w:cs="Times New Roman"/>
          <w:sz w:val="24"/>
          <w:szCs w:val="24"/>
        </w:rPr>
        <w:t>на термограмме</w:t>
      </w:r>
      <w:r w:rsidR="00B62B8C" w:rsidRPr="00FE3132">
        <w:rPr>
          <w:rFonts w:cs="Times New Roman"/>
          <w:sz w:val="24"/>
          <w:szCs w:val="24"/>
        </w:rPr>
        <w:t xml:space="preserve"> </w:t>
      </w:r>
      <w:r w:rsidR="00690FDA" w:rsidRPr="00FE3132">
        <w:rPr>
          <w:rFonts w:cs="Times New Roman"/>
          <w:sz w:val="24"/>
          <w:szCs w:val="24"/>
        </w:rPr>
        <w:t>– при 30 и 38 °С.</w:t>
      </w:r>
    </w:p>
    <w:p w14:paraId="4540D100" w14:textId="07FAD975" w:rsidR="00690FDA" w:rsidRPr="00FE3132" w:rsidRDefault="00690FDA" w:rsidP="0079217C">
      <w:pPr>
        <w:spacing w:line="240" w:lineRule="auto"/>
        <w:ind w:firstLine="397"/>
        <w:rPr>
          <w:rFonts w:cs="Times New Roman"/>
          <w:sz w:val="24"/>
          <w:szCs w:val="24"/>
        </w:rPr>
      </w:pPr>
      <w:r w:rsidRPr="00FE3132">
        <w:rPr>
          <w:rFonts w:cs="Times New Roman"/>
          <w:sz w:val="24"/>
          <w:szCs w:val="24"/>
        </w:rPr>
        <w:t xml:space="preserve">Таким образом </w:t>
      </w:r>
      <w:r w:rsidR="00002E14" w:rsidRPr="00FE3132">
        <w:rPr>
          <w:rFonts w:cs="Times New Roman"/>
          <w:sz w:val="24"/>
          <w:szCs w:val="24"/>
        </w:rPr>
        <w:t>терпеноиды встраиваются в липидный бислой, образуя дефекты</w:t>
      </w:r>
      <w:r w:rsidR="00FF7D2B" w:rsidRPr="00FE3132">
        <w:rPr>
          <w:rFonts w:cs="Times New Roman"/>
          <w:sz w:val="24"/>
          <w:szCs w:val="24"/>
        </w:rPr>
        <w:t xml:space="preserve">, в следствии чего </w:t>
      </w:r>
      <w:r w:rsidR="001E6A62" w:rsidRPr="00FE3132">
        <w:rPr>
          <w:rFonts w:cs="Times New Roman"/>
          <w:sz w:val="24"/>
          <w:szCs w:val="24"/>
        </w:rPr>
        <w:t>проницаемость мембран повышается для антибиотиков.</w:t>
      </w:r>
    </w:p>
    <w:p w14:paraId="553E3526" w14:textId="77777777" w:rsidR="00842D01" w:rsidRPr="00FE3132" w:rsidRDefault="00842D01" w:rsidP="0079217C">
      <w:pPr>
        <w:spacing w:line="240" w:lineRule="auto"/>
        <w:ind w:firstLine="397"/>
        <w:rPr>
          <w:rFonts w:cs="Times New Roman"/>
          <w:sz w:val="24"/>
          <w:szCs w:val="24"/>
        </w:rPr>
      </w:pPr>
    </w:p>
    <w:p w14:paraId="67116185" w14:textId="3CF2B3EE" w:rsidR="00842D01" w:rsidRPr="00FE3132" w:rsidRDefault="00842D01" w:rsidP="00842D01">
      <w:pPr>
        <w:pStyle w:val="a5"/>
        <w:keepNext/>
        <w:spacing w:after="0"/>
        <w:rPr>
          <w:rFonts w:cs="Times New Roman"/>
          <w:i w:val="0"/>
          <w:iCs w:val="0"/>
          <w:color w:val="auto"/>
          <w:sz w:val="22"/>
          <w:szCs w:val="22"/>
        </w:rPr>
      </w:pPr>
      <w:r w:rsidRPr="00FE3132">
        <w:rPr>
          <w:rFonts w:cs="Times New Roman"/>
          <w:i w:val="0"/>
          <w:iCs w:val="0"/>
          <w:color w:val="auto"/>
          <w:sz w:val="22"/>
          <w:szCs w:val="22"/>
        </w:rPr>
        <w:t xml:space="preserve">Таблица </w:t>
      </w:r>
      <w:r w:rsidRPr="00FE3132">
        <w:rPr>
          <w:rFonts w:cs="Times New Roman"/>
          <w:i w:val="0"/>
          <w:iCs w:val="0"/>
          <w:color w:val="auto"/>
          <w:sz w:val="22"/>
          <w:szCs w:val="22"/>
        </w:rPr>
        <w:fldChar w:fldCharType="begin"/>
      </w:r>
      <w:r w:rsidRPr="00FE3132">
        <w:rPr>
          <w:rFonts w:cs="Times New Roman"/>
          <w:i w:val="0"/>
          <w:iCs w:val="0"/>
          <w:color w:val="auto"/>
          <w:sz w:val="22"/>
          <w:szCs w:val="22"/>
        </w:rPr>
        <w:instrText xml:space="preserve"> SEQ Таблица \* ARABIC </w:instrText>
      </w:r>
      <w:r w:rsidRPr="00FE3132">
        <w:rPr>
          <w:rFonts w:cs="Times New Roman"/>
          <w:i w:val="0"/>
          <w:iCs w:val="0"/>
          <w:color w:val="auto"/>
          <w:sz w:val="22"/>
          <w:szCs w:val="22"/>
        </w:rPr>
        <w:fldChar w:fldCharType="separate"/>
      </w:r>
      <w:r w:rsidRPr="00FE3132">
        <w:rPr>
          <w:rFonts w:cs="Times New Roman"/>
          <w:i w:val="0"/>
          <w:iCs w:val="0"/>
          <w:noProof/>
          <w:color w:val="auto"/>
          <w:sz w:val="22"/>
          <w:szCs w:val="22"/>
        </w:rPr>
        <w:t>1</w:t>
      </w:r>
      <w:r w:rsidRPr="00FE3132">
        <w:rPr>
          <w:rFonts w:cs="Times New Roman"/>
          <w:i w:val="0"/>
          <w:iCs w:val="0"/>
          <w:color w:val="auto"/>
          <w:sz w:val="22"/>
          <w:szCs w:val="22"/>
        </w:rPr>
        <w:fldChar w:fldCharType="end"/>
      </w:r>
      <w:r w:rsidRPr="00FE3132">
        <w:rPr>
          <w:rFonts w:cs="Times New Roman"/>
          <w:i w:val="0"/>
          <w:iCs w:val="0"/>
          <w:color w:val="auto"/>
          <w:sz w:val="22"/>
          <w:szCs w:val="22"/>
        </w:rPr>
        <w:t>. Частота характеристических полос поглощения в ИК-спектрах комплексов анионных липосом до фазового перехода</w:t>
      </w:r>
    </w:p>
    <w:tbl>
      <w:tblPr>
        <w:tblStyle w:val="-3"/>
        <w:tblW w:w="9214" w:type="dxa"/>
        <w:tblInd w:w="-5" w:type="dxa"/>
        <w:tblLook w:val="0600" w:firstRow="0" w:lastRow="0" w:firstColumn="0" w:lastColumn="0" w:noHBand="1" w:noVBand="1"/>
      </w:tblPr>
      <w:tblGrid>
        <w:gridCol w:w="1215"/>
        <w:gridCol w:w="847"/>
        <w:gridCol w:w="782"/>
        <w:gridCol w:w="656"/>
        <w:gridCol w:w="656"/>
        <w:gridCol w:w="3985"/>
        <w:gridCol w:w="1073"/>
      </w:tblGrid>
      <w:tr w:rsidR="00304164" w:rsidRPr="00FE3132" w14:paraId="18FFFCDC" w14:textId="77777777" w:rsidTr="00304164">
        <w:trPr>
          <w:trHeight w:val="344"/>
        </w:trPr>
        <w:tc>
          <w:tcPr>
            <w:tcW w:w="1215" w:type="dxa"/>
            <w:vMerge w:val="restart"/>
            <w:hideMark/>
          </w:tcPr>
          <w:p w14:paraId="07EA925A" w14:textId="77777777" w:rsidR="00304164" w:rsidRPr="00FE3132" w:rsidRDefault="00304164" w:rsidP="0030416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FE3132">
              <w:rPr>
                <w:rFonts w:cs="Times New Roman"/>
                <w:sz w:val="22"/>
              </w:rPr>
              <w:t>Образец</w:t>
            </w:r>
          </w:p>
        </w:tc>
        <w:tc>
          <w:tcPr>
            <w:tcW w:w="2941" w:type="dxa"/>
            <w:gridSpan w:val="4"/>
            <w:hideMark/>
          </w:tcPr>
          <w:p w14:paraId="4CFD3F7E" w14:textId="77777777" w:rsidR="00304164" w:rsidRPr="00FE3132" w:rsidRDefault="00304164" w:rsidP="0030416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FE3132">
              <w:rPr>
                <w:rFonts w:cs="Times New Roman"/>
                <w:sz w:val="22"/>
              </w:rPr>
              <w:t>Частота колебаний групп, см</w:t>
            </w:r>
            <w:r w:rsidRPr="00FE3132">
              <w:rPr>
                <w:rFonts w:cs="Times New Roman"/>
                <w:sz w:val="22"/>
                <w:vertAlign w:val="superscript"/>
              </w:rPr>
              <w:t>-1</w:t>
            </w:r>
          </w:p>
        </w:tc>
        <w:tc>
          <w:tcPr>
            <w:tcW w:w="3985" w:type="dxa"/>
            <w:vMerge w:val="restart"/>
            <w:hideMark/>
          </w:tcPr>
          <w:p w14:paraId="2A79927A" w14:textId="77777777" w:rsidR="00304164" w:rsidRPr="00FE3132" w:rsidRDefault="00304164" w:rsidP="0030416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FE3132">
              <w:rPr>
                <w:rFonts w:cs="Times New Roman"/>
                <w:sz w:val="22"/>
              </w:rPr>
              <w:t>Интерпретация</w:t>
            </w:r>
          </w:p>
        </w:tc>
        <w:tc>
          <w:tcPr>
            <w:tcW w:w="1073" w:type="dxa"/>
            <w:vMerge w:val="restart"/>
            <w:hideMark/>
          </w:tcPr>
          <w:p w14:paraId="14F513A9" w14:textId="77777777" w:rsidR="00304164" w:rsidRPr="00FE3132" w:rsidRDefault="00304164" w:rsidP="00304164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FE3132">
              <w:rPr>
                <w:rFonts w:cs="Times New Roman"/>
                <w:sz w:val="22"/>
              </w:rPr>
              <w:t xml:space="preserve">Размеры, </w:t>
            </w:r>
            <w:r w:rsidRPr="00FE3132">
              <w:rPr>
                <w:rFonts w:cs="Times New Roman"/>
                <w:sz w:val="22"/>
                <w:lang w:val="en-US"/>
              </w:rPr>
              <w:t>d</w:t>
            </w:r>
            <w:r w:rsidRPr="00FE3132">
              <w:rPr>
                <w:rFonts w:cs="Times New Roman"/>
                <w:sz w:val="22"/>
              </w:rPr>
              <w:t xml:space="preserve"> нм</w:t>
            </w:r>
          </w:p>
        </w:tc>
      </w:tr>
      <w:tr w:rsidR="00304164" w:rsidRPr="00FE3132" w14:paraId="53CE0D3C" w14:textId="77777777" w:rsidTr="00304164">
        <w:trPr>
          <w:trHeight w:val="353"/>
        </w:trPr>
        <w:tc>
          <w:tcPr>
            <w:tcW w:w="1215" w:type="dxa"/>
            <w:vMerge/>
            <w:hideMark/>
          </w:tcPr>
          <w:p w14:paraId="2F943BD2" w14:textId="77777777" w:rsidR="00304164" w:rsidRPr="00FE3132" w:rsidRDefault="00304164" w:rsidP="00842D01">
            <w:pPr>
              <w:spacing w:line="240" w:lineRule="auto"/>
              <w:ind w:firstLine="397"/>
              <w:rPr>
                <w:rFonts w:cs="Times New Roman"/>
                <w:sz w:val="22"/>
              </w:rPr>
            </w:pPr>
          </w:p>
        </w:tc>
        <w:tc>
          <w:tcPr>
            <w:tcW w:w="847" w:type="dxa"/>
            <w:hideMark/>
          </w:tcPr>
          <w:p w14:paraId="64C7AE18" w14:textId="77777777" w:rsidR="00304164" w:rsidRPr="00FE3132" w:rsidRDefault="00304164" w:rsidP="00842D01">
            <w:pPr>
              <w:spacing w:line="240" w:lineRule="auto"/>
              <w:rPr>
                <w:rFonts w:cs="Times New Roman"/>
                <w:sz w:val="22"/>
              </w:rPr>
            </w:pPr>
            <w:r w:rsidRPr="00FE3132">
              <w:rPr>
                <w:rFonts w:cs="Times New Roman"/>
                <w:sz w:val="22"/>
                <w:lang w:val="en-US"/>
              </w:rPr>
              <w:t>CH</w:t>
            </w:r>
            <w:r w:rsidRPr="00FE3132">
              <w:rPr>
                <w:rFonts w:cs="Times New Roman"/>
                <w:sz w:val="22"/>
                <w:vertAlign w:val="subscript"/>
                <w:lang w:val="en-US"/>
              </w:rPr>
              <w:t>2</w:t>
            </w:r>
            <w:r w:rsidRPr="00FE3132">
              <w:rPr>
                <w:rFonts w:cs="Times New Roman"/>
                <w:sz w:val="22"/>
                <w:lang w:val="en-US"/>
              </w:rPr>
              <w:t xml:space="preserve"> as</w:t>
            </w:r>
          </w:p>
        </w:tc>
        <w:tc>
          <w:tcPr>
            <w:tcW w:w="782" w:type="dxa"/>
            <w:hideMark/>
          </w:tcPr>
          <w:p w14:paraId="5B6EC182" w14:textId="77777777" w:rsidR="00304164" w:rsidRPr="00FE3132" w:rsidRDefault="00304164" w:rsidP="00842D01">
            <w:pPr>
              <w:spacing w:line="240" w:lineRule="auto"/>
              <w:rPr>
                <w:rFonts w:cs="Times New Roman"/>
                <w:sz w:val="22"/>
              </w:rPr>
            </w:pPr>
            <w:r w:rsidRPr="00FE3132">
              <w:rPr>
                <w:rFonts w:cs="Times New Roman"/>
                <w:sz w:val="22"/>
                <w:lang w:val="en-US"/>
              </w:rPr>
              <w:t>CH</w:t>
            </w:r>
            <w:r w:rsidRPr="00FE3132">
              <w:rPr>
                <w:rFonts w:cs="Times New Roman"/>
                <w:sz w:val="22"/>
                <w:vertAlign w:val="subscript"/>
                <w:lang w:val="en-US"/>
              </w:rPr>
              <w:t>2</w:t>
            </w:r>
            <w:r w:rsidRPr="00FE3132">
              <w:rPr>
                <w:rFonts w:cs="Times New Roman"/>
                <w:sz w:val="22"/>
                <w:lang w:val="en-US"/>
              </w:rPr>
              <w:t xml:space="preserve"> s</w:t>
            </w:r>
          </w:p>
        </w:tc>
        <w:tc>
          <w:tcPr>
            <w:tcW w:w="656" w:type="dxa"/>
            <w:hideMark/>
          </w:tcPr>
          <w:p w14:paraId="43027C8E" w14:textId="77777777" w:rsidR="00304164" w:rsidRPr="00FE3132" w:rsidRDefault="00304164" w:rsidP="00842D01">
            <w:pPr>
              <w:spacing w:line="240" w:lineRule="auto"/>
              <w:rPr>
                <w:rFonts w:cs="Times New Roman"/>
                <w:sz w:val="22"/>
              </w:rPr>
            </w:pPr>
            <w:r w:rsidRPr="00FE3132">
              <w:rPr>
                <w:rFonts w:cs="Times New Roman"/>
                <w:sz w:val="22"/>
                <w:lang w:val="en-US"/>
              </w:rPr>
              <w:t>C=O</w:t>
            </w:r>
          </w:p>
        </w:tc>
        <w:tc>
          <w:tcPr>
            <w:tcW w:w="656" w:type="dxa"/>
            <w:hideMark/>
          </w:tcPr>
          <w:p w14:paraId="517135BE" w14:textId="77777777" w:rsidR="00304164" w:rsidRPr="00FE3132" w:rsidRDefault="00304164" w:rsidP="00842D01">
            <w:pPr>
              <w:spacing w:line="240" w:lineRule="auto"/>
              <w:rPr>
                <w:rFonts w:cs="Times New Roman"/>
                <w:sz w:val="22"/>
              </w:rPr>
            </w:pPr>
            <w:r w:rsidRPr="00FE3132">
              <w:rPr>
                <w:rFonts w:cs="Times New Roman"/>
                <w:sz w:val="22"/>
                <w:lang w:val="en-US"/>
              </w:rPr>
              <w:t>PO</w:t>
            </w:r>
            <w:r w:rsidRPr="00FE3132">
              <w:rPr>
                <w:rFonts w:cs="Times New Roman"/>
                <w:sz w:val="22"/>
                <w:vertAlign w:val="subscript"/>
                <w:lang w:val="en-US"/>
              </w:rPr>
              <w:t>2</w:t>
            </w:r>
          </w:p>
        </w:tc>
        <w:tc>
          <w:tcPr>
            <w:tcW w:w="3985" w:type="dxa"/>
            <w:vMerge/>
            <w:hideMark/>
          </w:tcPr>
          <w:p w14:paraId="7F2791E9" w14:textId="77777777" w:rsidR="00304164" w:rsidRPr="00FE3132" w:rsidRDefault="00304164" w:rsidP="00842D01">
            <w:pPr>
              <w:spacing w:line="240" w:lineRule="auto"/>
              <w:ind w:firstLine="397"/>
              <w:rPr>
                <w:rFonts w:cs="Times New Roman"/>
                <w:sz w:val="22"/>
              </w:rPr>
            </w:pPr>
          </w:p>
        </w:tc>
        <w:tc>
          <w:tcPr>
            <w:tcW w:w="1073" w:type="dxa"/>
            <w:vMerge/>
            <w:hideMark/>
          </w:tcPr>
          <w:p w14:paraId="2C159A52" w14:textId="77777777" w:rsidR="00304164" w:rsidRPr="00FE3132" w:rsidRDefault="00304164" w:rsidP="00842D01">
            <w:pPr>
              <w:spacing w:line="240" w:lineRule="auto"/>
              <w:ind w:firstLine="397"/>
              <w:rPr>
                <w:rFonts w:cs="Times New Roman"/>
                <w:sz w:val="22"/>
              </w:rPr>
            </w:pPr>
          </w:p>
        </w:tc>
      </w:tr>
      <w:tr w:rsidR="00304164" w:rsidRPr="00FE3132" w14:paraId="603AAD52" w14:textId="77777777" w:rsidTr="00304164">
        <w:trPr>
          <w:trHeight w:val="344"/>
        </w:trPr>
        <w:tc>
          <w:tcPr>
            <w:tcW w:w="1215" w:type="dxa"/>
            <w:hideMark/>
          </w:tcPr>
          <w:p w14:paraId="22DEA1A6" w14:textId="0DEB1E80" w:rsidR="00842D01" w:rsidRPr="00FE3132" w:rsidRDefault="00842D01" w:rsidP="00842D01">
            <w:pPr>
              <w:spacing w:line="240" w:lineRule="auto"/>
              <w:rPr>
                <w:rFonts w:cs="Times New Roman"/>
                <w:sz w:val="22"/>
              </w:rPr>
            </w:pPr>
            <w:r w:rsidRPr="00FE3132">
              <w:rPr>
                <w:rFonts w:cs="Times New Roman"/>
                <w:sz w:val="22"/>
              </w:rPr>
              <w:t>ДПФХ/КЛ 80/20 %</w:t>
            </w:r>
          </w:p>
        </w:tc>
        <w:tc>
          <w:tcPr>
            <w:tcW w:w="847" w:type="dxa"/>
            <w:hideMark/>
          </w:tcPr>
          <w:p w14:paraId="51EC1187" w14:textId="77777777" w:rsidR="00842D01" w:rsidRPr="00FE3132" w:rsidRDefault="00842D01" w:rsidP="00842D01">
            <w:pPr>
              <w:spacing w:line="240" w:lineRule="auto"/>
              <w:rPr>
                <w:rFonts w:cs="Times New Roman"/>
                <w:sz w:val="22"/>
              </w:rPr>
            </w:pPr>
            <w:r w:rsidRPr="00FE3132">
              <w:rPr>
                <w:rFonts w:cs="Times New Roman"/>
                <w:sz w:val="22"/>
              </w:rPr>
              <w:t>2918</w:t>
            </w:r>
          </w:p>
        </w:tc>
        <w:tc>
          <w:tcPr>
            <w:tcW w:w="782" w:type="dxa"/>
            <w:hideMark/>
          </w:tcPr>
          <w:p w14:paraId="68695908" w14:textId="77777777" w:rsidR="00842D01" w:rsidRPr="00FE3132" w:rsidRDefault="00842D01" w:rsidP="00842D01">
            <w:pPr>
              <w:spacing w:line="240" w:lineRule="auto"/>
              <w:rPr>
                <w:rFonts w:cs="Times New Roman"/>
                <w:sz w:val="22"/>
              </w:rPr>
            </w:pPr>
            <w:r w:rsidRPr="00FE3132">
              <w:rPr>
                <w:rFonts w:cs="Times New Roman"/>
                <w:sz w:val="22"/>
              </w:rPr>
              <w:t>2850</w:t>
            </w:r>
          </w:p>
        </w:tc>
        <w:tc>
          <w:tcPr>
            <w:tcW w:w="656" w:type="dxa"/>
            <w:hideMark/>
          </w:tcPr>
          <w:p w14:paraId="2C8984D0" w14:textId="77777777" w:rsidR="00842D01" w:rsidRPr="00FE3132" w:rsidRDefault="00842D01" w:rsidP="00842D01">
            <w:pPr>
              <w:spacing w:line="240" w:lineRule="auto"/>
              <w:rPr>
                <w:rFonts w:cs="Times New Roman"/>
                <w:sz w:val="22"/>
              </w:rPr>
            </w:pPr>
            <w:r w:rsidRPr="00FE3132">
              <w:rPr>
                <w:rFonts w:cs="Times New Roman"/>
                <w:sz w:val="22"/>
              </w:rPr>
              <w:t>1733</w:t>
            </w:r>
          </w:p>
        </w:tc>
        <w:tc>
          <w:tcPr>
            <w:tcW w:w="656" w:type="dxa"/>
            <w:hideMark/>
          </w:tcPr>
          <w:p w14:paraId="32B8F189" w14:textId="77777777" w:rsidR="00842D01" w:rsidRPr="00FE3132" w:rsidRDefault="00842D01" w:rsidP="00842D01">
            <w:pPr>
              <w:spacing w:line="240" w:lineRule="auto"/>
              <w:rPr>
                <w:rFonts w:cs="Times New Roman"/>
                <w:sz w:val="22"/>
              </w:rPr>
            </w:pPr>
            <w:r w:rsidRPr="00FE3132">
              <w:rPr>
                <w:rFonts w:cs="Times New Roman"/>
                <w:sz w:val="22"/>
              </w:rPr>
              <w:t>1223</w:t>
            </w:r>
          </w:p>
        </w:tc>
        <w:tc>
          <w:tcPr>
            <w:tcW w:w="3985" w:type="dxa"/>
            <w:hideMark/>
          </w:tcPr>
          <w:p w14:paraId="7C16E3AA" w14:textId="77777777" w:rsidR="00842D01" w:rsidRPr="00FE3132" w:rsidRDefault="00842D01" w:rsidP="00842D01">
            <w:pPr>
              <w:spacing w:line="240" w:lineRule="auto"/>
              <w:rPr>
                <w:rFonts w:cs="Times New Roman"/>
                <w:sz w:val="22"/>
              </w:rPr>
            </w:pPr>
            <w:r w:rsidRPr="00FE3132">
              <w:rPr>
                <w:rFonts w:cs="Times New Roman"/>
                <w:sz w:val="22"/>
              </w:rPr>
              <w:t>Гелеобразное состояние</w:t>
            </w:r>
          </w:p>
        </w:tc>
        <w:tc>
          <w:tcPr>
            <w:tcW w:w="1073" w:type="dxa"/>
            <w:hideMark/>
          </w:tcPr>
          <w:p w14:paraId="1528FB3A" w14:textId="77777777" w:rsidR="00842D01" w:rsidRPr="00FE3132" w:rsidRDefault="00842D01" w:rsidP="00842D01">
            <w:pPr>
              <w:spacing w:line="240" w:lineRule="auto"/>
              <w:rPr>
                <w:rFonts w:cs="Times New Roman"/>
                <w:sz w:val="22"/>
              </w:rPr>
            </w:pPr>
            <w:r w:rsidRPr="00FE3132">
              <w:rPr>
                <w:rFonts w:cs="Times New Roman"/>
                <w:sz w:val="22"/>
              </w:rPr>
              <w:t>60±2</w:t>
            </w:r>
          </w:p>
        </w:tc>
      </w:tr>
      <w:tr w:rsidR="00304164" w:rsidRPr="00FE3132" w14:paraId="4DF62F8D" w14:textId="77777777" w:rsidTr="00304164">
        <w:trPr>
          <w:trHeight w:val="617"/>
        </w:trPr>
        <w:tc>
          <w:tcPr>
            <w:tcW w:w="1215" w:type="dxa"/>
            <w:hideMark/>
          </w:tcPr>
          <w:p w14:paraId="22D30C30" w14:textId="19AC9C0B" w:rsidR="00842D01" w:rsidRPr="00FE3132" w:rsidRDefault="00842D01" w:rsidP="00842D01">
            <w:pPr>
              <w:spacing w:line="240" w:lineRule="auto"/>
              <w:rPr>
                <w:rFonts w:cs="Times New Roman"/>
                <w:sz w:val="22"/>
              </w:rPr>
            </w:pPr>
            <w:r w:rsidRPr="00FE3132">
              <w:rPr>
                <w:rFonts w:cs="Times New Roman"/>
                <w:sz w:val="22"/>
              </w:rPr>
              <w:t>ДПФХ/КЛ 80/20 % +эвгенол</w:t>
            </w:r>
          </w:p>
        </w:tc>
        <w:tc>
          <w:tcPr>
            <w:tcW w:w="847" w:type="dxa"/>
            <w:hideMark/>
          </w:tcPr>
          <w:p w14:paraId="15874317" w14:textId="77777777" w:rsidR="00842D01" w:rsidRPr="00FE3132" w:rsidRDefault="00842D01" w:rsidP="00842D01">
            <w:pPr>
              <w:spacing w:line="240" w:lineRule="auto"/>
              <w:rPr>
                <w:rFonts w:cs="Times New Roman"/>
                <w:sz w:val="22"/>
              </w:rPr>
            </w:pPr>
            <w:r w:rsidRPr="00FE3132">
              <w:rPr>
                <w:rFonts w:cs="Times New Roman"/>
                <w:sz w:val="22"/>
              </w:rPr>
              <w:t>2921</w:t>
            </w:r>
          </w:p>
        </w:tc>
        <w:tc>
          <w:tcPr>
            <w:tcW w:w="782" w:type="dxa"/>
            <w:hideMark/>
          </w:tcPr>
          <w:p w14:paraId="01257EEF" w14:textId="77777777" w:rsidR="00842D01" w:rsidRPr="00FE3132" w:rsidRDefault="00842D01" w:rsidP="00842D01">
            <w:pPr>
              <w:spacing w:line="240" w:lineRule="auto"/>
              <w:rPr>
                <w:rFonts w:cs="Times New Roman"/>
                <w:sz w:val="22"/>
              </w:rPr>
            </w:pPr>
            <w:r w:rsidRPr="00FE3132">
              <w:rPr>
                <w:rFonts w:cs="Times New Roman"/>
                <w:sz w:val="22"/>
              </w:rPr>
              <w:t>2851</w:t>
            </w:r>
          </w:p>
        </w:tc>
        <w:tc>
          <w:tcPr>
            <w:tcW w:w="656" w:type="dxa"/>
            <w:hideMark/>
          </w:tcPr>
          <w:p w14:paraId="1683456F" w14:textId="77777777" w:rsidR="00842D01" w:rsidRPr="00FE3132" w:rsidRDefault="00842D01" w:rsidP="00842D01">
            <w:pPr>
              <w:spacing w:line="240" w:lineRule="auto"/>
              <w:rPr>
                <w:rFonts w:cs="Times New Roman"/>
                <w:sz w:val="22"/>
              </w:rPr>
            </w:pPr>
            <w:r w:rsidRPr="00FE3132">
              <w:rPr>
                <w:rFonts w:cs="Times New Roman"/>
                <w:sz w:val="22"/>
              </w:rPr>
              <w:t xml:space="preserve">1738   </w:t>
            </w:r>
          </w:p>
          <w:p w14:paraId="450B660D" w14:textId="77777777" w:rsidR="00842D01" w:rsidRPr="00FE3132" w:rsidRDefault="00842D01" w:rsidP="00842D01">
            <w:pPr>
              <w:spacing w:line="240" w:lineRule="auto"/>
              <w:rPr>
                <w:rFonts w:cs="Times New Roman"/>
                <w:sz w:val="22"/>
              </w:rPr>
            </w:pPr>
            <w:r w:rsidRPr="00FE3132">
              <w:rPr>
                <w:rFonts w:cs="Times New Roman"/>
                <w:sz w:val="22"/>
              </w:rPr>
              <w:t>1733</w:t>
            </w:r>
          </w:p>
        </w:tc>
        <w:tc>
          <w:tcPr>
            <w:tcW w:w="656" w:type="dxa"/>
            <w:hideMark/>
          </w:tcPr>
          <w:p w14:paraId="6156E4F0" w14:textId="77777777" w:rsidR="00842D01" w:rsidRPr="00FE3132" w:rsidRDefault="00842D01" w:rsidP="00842D01">
            <w:pPr>
              <w:spacing w:line="240" w:lineRule="auto"/>
              <w:rPr>
                <w:rFonts w:cs="Times New Roman"/>
                <w:sz w:val="22"/>
              </w:rPr>
            </w:pPr>
            <w:r w:rsidRPr="00FE3132">
              <w:rPr>
                <w:rFonts w:cs="Times New Roman"/>
                <w:sz w:val="22"/>
              </w:rPr>
              <w:t>1222</w:t>
            </w:r>
          </w:p>
        </w:tc>
        <w:tc>
          <w:tcPr>
            <w:tcW w:w="3985" w:type="dxa"/>
            <w:vMerge w:val="restart"/>
            <w:hideMark/>
          </w:tcPr>
          <w:p w14:paraId="5D99B609" w14:textId="77777777" w:rsidR="00842D01" w:rsidRPr="00FE3132" w:rsidRDefault="00842D01" w:rsidP="00842D01">
            <w:pPr>
              <w:spacing w:line="240" w:lineRule="auto"/>
              <w:rPr>
                <w:rFonts w:cs="Times New Roman"/>
                <w:sz w:val="22"/>
              </w:rPr>
            </w:pPr>
            <w:r w:rsidRPr="00FE3132">
              <w:rPr>
                <w:rFonts w:cs="Times New Roman"/>
                <w:sz w:val="22"/>
              </w:rPr>
              <w:t>Увеличение подвижности гидрофобных цепей, эффективное взаимодействие с анионными группами, снижение степени гидратации (уменьшение числа H-связей)</w:t>
            </w:r>
          </w:p>
        </w:tc>
        <w:tc>
          <w:tcPr>
            <w:tcW w:w="1073" w:type="dxa"/>
            <w:hideMark/>
          </w:tcPr>
          <w:p w14:paraId="6CE951DB" w14:textId="77777777" w:rsidR="00842D01" w:rsidRPr="00FE3132" w:rsidRDefault="00842D01" w:rsidP="00842D01">
            <w:pPr>
              <w:spacing w:line="240" w:lineRule="auto"/>
              <w:rPr>
                <w:rFonts w:cs="Times New Roman"/>
                <w:sz w:val="22"/>
              </w:rPr>
            </w:pPr>
            <w:r w:rsidRPr="00FE3132">
              <w:rPr>
                <w:rFonts w:cs="Times New Roman"/>
                <w:sz w:val="22"/>
              </w:rPr>
              <w:t>79±1</w:t>
            </w:r>
          </w:p>
        </w:tc>
      </w:tr>
      <w:tr w:rsidR="00304164" w:rsidRPr="00FE3132" w14:paraId="54CB0DB5" w14:textId="77777777" w:rsidTr="00304164">
        <w:trPr>
          <w:trHeight w:val="402"/>
        </w:trPr>
        <w:tc>
          <w:tcPr>
            <w:tcW w:w="1215" w:type="dxa"/>
          </w:tcPr>
          <w:p w14:paraId="0928D32E" w14:textId="2584DB48" w:rsidR="00842D01" w:rsidRPr="00FE3132" w:rsidRDefault="00842D01" w:rsidP="00842D01">
            <w:pPr>
              <w:spacing w:line="240" w:lineRule="auto"/>
              <w:rPr>
                <w:rFonts w:cs="Times New Roman"/>
                <w:sz w:val="22"/>
              </w:rPr>
            </w:pPr>
            <w:r w:rsidRPr="00FE3132">
              <w:rPr>
                <w:rFonts w:cs="Times New Roman"/>
                <w:sz w:val="22"/>
              </w:rPr>
              <w:t>ДПФХ/КЛ 80/20% + апиол</w:t>
            </w:r>
          </w:p>
        </w:tc>
        <w:tc>
          <w:tcPr>
            <w:tcW w:w="847" w:type="dxa"/>
          </w:tcPr>
          <w:p w14:paraId="716B6A7D" w14:textId="77777777" w:rsidR="00842D01" w:rsidRPr="00FE3132" w:rsidRDefault="00842D01" w:rsidP="00842D01">
            <w:pPr>
              <w:spacing w:line="240" w:lineRule="auto"/>
              <w:rPr>
                <w:rFonts w:cs="Times New Roman"/>
                <w:sz w:val="22"/>
              </w:rPr>
            </w:pPr>
            <w:r w:rsidRPr="00FE3132">
              <w:rPr>
                <w:rFonts w:cs="Times New Roman"/>
                <w:sz w:val="22"/>
              </w:rPr>
              <w:t>2919</w:t>
            </w:r>
          </w:p>
          <w:p w14:paraId="7E3A3465" w14:textId="0A2F9BD3" w:rsidR="00842D01" w:rsidRPr="00FE3132" w:rsidRDefault="00842D01" w:rsidP="00842D01">
            <w:pPr>
              <w:spacing w:line="240" w:lineRule="auto"/>
              <w:ind w:firstLine="397"/>
              <w:rPr>
                <w:rFonts w:cs="Times New Roman"/>
                <w:sz w:val="22"/>
              </w:rPr>
            </w:pPr>
          </w:p>
        </w:tc>
        <w:tc>
          <w:tcPr>
            <w:tcW w:w="782" w:type="dxa"/>
          </w:tcPr>
          <w:p w14:paraId="68633C8C" w14:textId="77777777" w:rsidR="00842D01" w:rsidRPr="00FE3132" w:rsidRDefault="00842D01" w:rsidP="00842D01">
            <w:pPr>
              <w:spacing w:line="240" w:lineRule="auto"/>
              <w:rPr>
                <w:rFonts w:cs="Times New Roman"/>
                <w:sz w:val="22"/>
              </w:rPr>
            </w:pPr>
            <w:r w:rsidRPr="00FE3132">
              <w:rPr>
                <w:rFonts w:cs="Times New Roman"/>
                <w:sz w:val="22"/>
              </w:rPr>
              <w:t>2851</w:t>
            </w:r>
          </w:p>
          <w:p w14:paraId="19F8F8BC" w14:textId="6EDC0819" w:rsidR="00842D01" w:rsidRPr="00FE3132" w:rsidRDefault="00842D01" w:rsidP="00842D01">
            <w:pPr>
              <w:spacing w:line="240" w:lineRule="auto"/>
              <w:ind w:firstLine="397"/>
              <w:rPr>
                <w:rFonts w:cs="Times New Roman"/>
                <w:sz w:val="22"/>
              </w:rPr>
            </w:pPr>
          </w:p>
        </w:tc>
        <w:tc>
          <w:tcPr>
            <w:tcW w:w="656" w:type="dxa"/>
          </w:tcPr>
          <w:p w14:paraId="48569A15" w14:textId="1DEB1A5E" w:rsidR="00842D01" w:rsidRPr="00FE3132" w:rsidRDefault="00842D01" w:rsidP="00842D01">
            <w:pPr>
              <w:spacing w:line="240" w:lineRule="auto"/>
              <w:rPr>
                <w:rFonts w:cs="Times New Roman"/>
                <w:sz w:val="22"/>
              </w:rPr>
            </w:pPr>
            <w:r w:rsidRPr="00FE3132">
              <w:rPr>
                <w:rFonts w:cs="Times New Roman"/>
                <w:sz w:val="22"/>
              </w:rPr>
              <w:t>1738</w:t>
            </w:r>
          </w:p>
        </w:tc>
        <w:tc>
          <w:tcPr>
            <w:tcW w:w="656" w:type="dxa"/>
          </w:tcPr>
          <w:p w14:paraId="04FE346D" w14:textId="77777777" w:rsidR="00842D01" w:rsidRPr="00FE3132" w:rsidRDefault="00842D01" w:rsidP="00842D01">
            <w:pPr>
              <w:spacing w:line="240" w:lineRule="auto"/>
              <w:rPr>
                <w:rFonts w:cs="Times New Roman"/>
                <w:sz w:val="22"/>
              </w:rPr>
            </w:pPr>
            <w:r w:rsidRPr="00FE3132">
              <w:rPr>
                <w:rFonts w:cs="Times New Roman"/>
                <w:sz w:val="22"/>
              </w:rPr>
              <w:t>1222</w:t>
            </w:r>
          </w:p>
          <w:p w14:paraId="3D61E3AE" w14:textId="04CDD157" w:rsidR="00842D01" w:rsidRPr="00FE3132" w:rsidRDefault="00842D01" w:rsidP="00842D01">
            <w:pPr>
              <w:spacing w:line="240" w:lineRule="auto"/>
              <w:ind w:firstLine="397"/>
              <w:rPr>
                <w:rFonts w:cs="Times New Roman"/>
                <w:sz w:val="22"/>
              </w:rPr>
            </w:pPr>
          </w:p>
        </w:tc>
        <w:tc>
          <w:tcPr>
            <w:tcW w:w="3985" w:type="dxa"/>
            <w:vMerge/>
          </w:tcPr>
          <w:p w14:paraId="6F68720F" w14:textId="3C9A4174" w:rsidR="00842D01" w:rsidRPr="00FE3132" w:rsidRDefault="00842D01" w:rsidP="00842D01">
            <w:pPr>
              <w:spacing w:line="240" w:lineRule="auto"/>
              <w:ind w:firstLine="397"/>
              <w:rPr>
                <w:rFonts w:cs="Times New Roman"/>
                <w:sz w:val="22"/>
              </w:rPr>
            </w:pPr>
          </w:p>
        </w:tc>
        <w:tc>
          <w:tcPr>
            <w:tcW w:w="1073" w:type="dxa"/>
          </w:tcPr>
          <w:p w14:paraId="14ECA037" w14:textId="4ED03B6E" w:rsidR="00842D01" w:rsidRPr="00FE3132" w:rsidRDefault="00842D01" w:rsidP="00842D01">
            <w:pPr>
              <w:spacing w:line="240" w:lineRule="auto"/>
              <w:rPr>
                <w:rFonts w:cs="Times New Roman"/>
                <w:sz w:val="22"/>
              </w:rPr>
            </w:pPr>
            <w:r w:rsidRPr="00FE3132">
              <w:rPr>
                <w:rFonts w:cs="Times New Roman"/>
                <w:sz w:val="22"/>
              </w:rPr>
              <w:t>75±2</w:t>
            </w:r>
          </w:p>
        </w:tc>
      </w:tr>
    </w:tbl>
    <w:p w14:paraId="17D421E0" w14:textId="77777777" w:rsidR="005C6F56" w:rsidRPr="00FE3132" w:rsidRDefault="005C6F56" w:rsidP="00842D01">
      <w:pPr>
        <w:spacing w:line="240" w:lineRule="auto"/>
        <w:rPr>
          <w:rFonts w:cs="Times New Roman"/>
          <w:sz w:val="24"/>
          <w:szCs w:val="24"/>
        </w:rPr>
      </w:pPr>
    </w:p>
    <w:sectPr w:rsidR="005C6F56" w:rsidRPr="00FE3132" w:rsidSect="0079217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81"/>
    <w:rsid w:val="00002E14"/>
    <w:rsid w:val="00064B36"/>
    <w:rsid w:val="000E435C"/>
    <w:rsid w:val="00121ED0"/>
    <w:rsid w:val="001C29AC"/>
    <w:rsid w:val="001D6CF5"/>
    <w:rsid w:val="001E6A62"/>
    <w:rsid w:val="002553CD"/>
    <w:rsid w:val="0028370C"/>
    <w:rsid w:val="002C2881"/>
    <w:rsid w:val="002D3B8A"/>
    <w:rsid w:val="00304164"/>
    <w:rsid w:val="00323E46"/>
    <w:rsid w:val="00572338"/>
    <w:rsid w:val="005C6F56"/>
    <w:rsid w:val="00690FDA"/>
    <w:rsid w:val="006949F5"/>
    <w:rsid w:val="006C7E15"/>
    <w:rsid w:val="006D2216"/>
    <w:rsid w:val="00724A4D"/>
    <w:rsid w:val="00743211"/>
    <w:rsid w:val="0079217C"/>
    <w:rsid w:val="00842D01"/>
    <w:rsid w:val="009C575A"/>
    <w:rsid w:val="00AA5F64"/>
    <w:rsid w:val="00AE4A49"/>
    <w:rsid w:val="00B62B8C"/>
    <w:rsid w:val="00C956FD"/>
    <w:rsid w:val="00CD7650"/>
    <w:rsid w:val="00E3504F"/>
    <w:rsid w:val="00F2394D"/>
    <w:rsid w:val="00FD4CAF"/>
    <w:rsid w:val="00FE3132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9499"/>
  <w15:chartTrackingRefBased/>
  <w15:docId w15:val="{92489B3C-1CC9-472E-AFF2-DEF1188B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Times New Roman"/>
    <w:qFormat/>
    <w:rsid w:val="00FD4CAF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F5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90FD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table" w:styleId="-3">
    <w:name w:val="Grid Table 3"/>
    <w:basedOn w:val="a1"/>
    <w:uiPriority w:val="48"/>
    <w:rsid w:val="00842D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5">
    <w:name w:val="caption"/>
    <w:basedOn w:val="a"/>
    <w:next w:val="a"/>
    <w:uiPriority w:val="35"/>
    <w:unhideWhenUsed/>
    <w:qFormat/>
    <w:rsid w:val="00842D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283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.bobrow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Боброва</dc:creator>
  <cp:keywords/>
  <dc:description/>
  <cp:lastModifiedBy>Наталия Боброва</cp:lastModifiedBy>
  <cp:revision>22</cp:revision>
  <dcterms:created xsi:type="dcterms:W3CDTF">2023-02-04T10:15:00Z</dcterms:created>
  <dcterms:modified xsi:type="dcterms:W3CDTF">2023-02-16T13:09:00Z</dcterms:modified>
</cp:coreProperties>
</file>