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13AA" w14:textId="5FE02FCF" w:rsidR="00130241" w:rsidRDefault="00F93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Сравнение </w:t>
      </w:r>
      <w:r w:rsidR="00D32CD3">
        <w:rPr>
          <w:b/>
          <w:color w:val="000000"/>
        </w:rPr>
        <w:t xml:space="preserve">эффективности </w:t>
      </w:r>
      <w:r>
        <w:rPr>
          <w:b/>
          <w:color w:val="000000"/>
        </w:rPr>
        <w:t xml:space="preserve">применения Большого Фрагмента Клёнова и Фрагмента Клёнова </w:t>
      </w:r>
      <w:proofErr w:type="spellStart"/>
      <w:r>
        <w:rPr>
          <w:b/>
          <w:color w:val="000000"/>
          <w:lang w:val="en-US"/>
        </w:rPr>
        <w:t>exo</w:t>
      </w:r>
      <w:proofErr w:type="spellEnd"/>
      <w:r w:rsidRPr="00F93FA6">
        <w:rPr>
          <w:b/>
          <w:color w:val="000000"/>
        </w:rPr>
        <w:t xml:space="preserve">- </w:t>
      </w:r>
      <w:r>
        <w:rPr>
          <w:b/>
          <w:color w:val="000000"/>
        </w:rPr>
        <w:t>при определении микроРНК-141 с применением</w:t>
      </w:r>
      <w:r w:rsidR="009E1DED">
        <w:rPr>
          <w:b/>
          <w:color w:val="000000"/>
        </w:rPr>
        <w:t xml:space="preserve"> изотермического </w:t>
      </w:r>
      <w:proofErr w:type="spellStart"/>
      <w:r w:rsidR="009E1DED">
        <w:rPr>
          <w:b/>
          <w:color w:val="000000"/>
        </w:rPr>
        <w:t>амплификационного</w:t>
      </w:r>
      <w:proofErr w:type="spellEnd"/>
      <w:r w:rsidR="009E1DED">
        <w:rPr>
          <w:b/>
          <w:color w:val="000000"/>
        </w:rPr>
        <w:t xml:space="preserve"> метода с полимеризацией и замещением</w:t>
      </w:r>
    </w:p>
    <w:p w14:paraId="17AE19EE" w14:textId="77777777" w:rsidR="00130241" w:rsidRDefault="009E1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Соловьев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Сахаров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D2589A5" w14:textId="77777777" w:rsidR="00130241" w:rsidRDefault="009E1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741E2BAC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447E502F" w14:textId="77777777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CD6E7BA" w14:textId="77777777" w:rsidR="00130241" w:rsidRPr="009E1DE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E1DED">
        <w:rPr>
          <w:i/>
          <w:color w:val="000000"/>
          <w:lang w:val="en-US"/>
        </w:rPr>
        <w:t>E</w:t>
      </w:r>
      <w:r w:rsidR="003B76D6" w:rsidRPr="009E1DED">
        <w:rPr>
          <w:i/>
          <w:color w:val="000000"/>
        </w:rPr>
        <w:t>-</w:t>
      </w:r>
      <w:r w:rsidRPr="009E1DED">
        <w:rPr>
          <w:i/>
          <w:color w:val="000000"/>
          <w:lang w:val="en-US"/>
        </w:rPr>
        <w:t>mail</w:t>
      </w:r>
      <w:r w:rsidRPr="009E1DED">
        <w:rPr>
          <w:i/>
          <w:color w:val="000000"/>
        </w:rPr>
        <w:t xml:space="preserve">: </w:t>
      </w:r>
      <w:hyperlink r:id="rId6" w:history="1">
        <w:r w:rsidR="009E1DED" w:rsidRPr="00AC193E">
          <w:rPr>
            <w:rStyle w:val="a9"/>
            <w:i/>
            <w:lang w:val="en-US"/>
          </w:rPr>
          <w:t>asol</w:t>
        </w:r>
        <w:r w:rsidR="009E1DED" w:rsidRPr="009E1DED">
          <w:rPr>
            <w:rStyle w:val="a9"/>
            <w:i/>
          </w:rPr>
          <w:t>0850@</w:t>
        </w:r>
        <w:r w:rsidR="009E1DED" w:rsidRPr="00AC193E">
          <w:rPr>
            <w:rStyle w:val="a9"/>
            <w:i/>
            <w:lang w:val="en-US"/>
          </w:rPr>
          <w:t>gmail</w:t>
        </w:r>
        <w:r w:rsidR="009E1DED" w:rsidRPr="009E1DED">
          <w:rPr>
            <w:rStyle w:val="a9"/>
            <w:i/>
          </w:rPr>
          <w:t>.</w:t>
        </w:r>
        <w:r w:rsidR="009E1DED" w:rsidRPr="00AC193E">
          <w:rPr>
            <w:rStyle w:val="a9"/>
            <w:i/>
            <w:lang w:val="en-US"/>
          </w:rPr>
          <w:t>com</w:t>
        </w:r>
      </w:hyperlink>
    </w:p>
    <w:p w14:paraId="1B849D72" w14:textId="77777777" w:rsidR="009E1DED" w:rsidRDefault="003C082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МикроРНК</w:t>
      </w:r>
      <w:proofErr w:type="spellEnd"/>
      <w:r>
        <w:rPr>
          <w:color w:val="000000"/>
        </w:rPr>
        <w:t xml:space="preserve"> – класс малых</w:t>
      </w:r>
      <w:r w:rsidR="004953A1">
        <w:rPr>
          <w:color w:val="000000"/>
        </w:rPr>
        <w:t xml:space="preserve"> </w:t>
      </w:r>
      <w:proofErr w:type="spellStart"/>
      <w:r w:rsidR="008121AE">
        <w:rPr>
          <w:color w:val="000000"/>
        </w:rPr>
        <w:t>некодирующих</w:t>
      </w:r>
      <w:proofErr w:type="spellEnd"/>
      <w:r w:rsidR="008121AE">
        <w:rPr>
          <w:color w:val="000000"/>
        </w:rPr>
        <w:t xml:space="preserve"> молекул РНК </w:t>
      </w:r>
      <w:r w:rsidR="004953A1">
        <w:rPr>
          <w:color w:val="000000"/>
        </w:rPr>
        <w:t>(18-24 нуклеотида).</w:t>
      </w:r>
      <w:r w:rsidR="00AF4683">
        <w:rPr>
          <w:color w:val="000000"/>
        </w:rPr>
        <w:t xml:space="preserve"> Они являются перспективными маркерами ряда онкологических, нейродегенеративных и сердечно-сосудистых заболеваний. </w:t>
      </w:r>
      <w:r w:rsidR="008121AE" w:rsidRPr="008121AE">
        <w:rPr>
          <w:color w:val="000000"/>
        </w:rPr>
        <w:t>О</w:t>
      </w:r>
      <w:r w:rsidR="008121AE">
        <w:rPr>
          <w:color w:val="000000"/>
        </w:rPr>
        <w:t>днако, в</w:t>
      </w:r>
      <w:r w:rsidR="00AF4683">
        <w:rPr>
          <w:color w:val="000000"/>
        </w:rPr>
        <w:t xml:space="preserve"> биологических образцах </w:t>
      </w:r>
      <w:proofErr w:type="spellStart"/>
      <w:r w:rsidR="00AF4683">
        <w:rPr>
          <w:color w:val="000000"/>
        </w:rPr>
        <w:t>микроРНК</w:t>
      </w:r>
      <w:proofErr w:type="spellEnd"/>
      <w:r w:rsidR="00AF4683">
        <w:rPr>
          <w:color w:val="000000"/>
        </w:rPr>
        <w:t xml:space="preserve"> содержатся в крайне низких концентрациях (</w:t>
      </w:r>
      <w:proofErr w:type="spellStart"/>
      <w:r w:rsidR="00AF4683">
        <w:rPr>
          <w:color w:val="000000"/>
        </w:rPr>
        <w:t>фМ-пМ</w:t>
      </w:r>
      <w:proofErr w:type="spellEnd"/>
      <w:r w:rsidR="00AF4683">
        <w:rPr>
          <w:color w:val="000000"/>
        </w:rPr>
        <w:t xml:space="preserve"> диапазон), поэтому задача разработки высокочувствительных методов их определения является </w:t>
      </w:r>
      <w:r w:rsidR="001C7CC8">
        <w:rPr>
          <w:color w:val="000000"/>
        </w:rPr>
        <w:t>чрезвычайно</w:t>
      </w:r>
      <w:r w:rsidR="00AF4683">
        <w:rPr>
          <w:color w:val="000000"/>
        </w:rPr>
        <w:t xml:space="preserve"> важной и востребованной для клинической диаг</w:t>
      </w:r>
      <w:r w:rsidR="001C7CC8">
        <w:rPr>
          <w:color w:val="000000"/>
        </w:rPr>
        <w:t>н</w:t>
      </w:r>
      <w:r w:rsidR="00AF4683">
        <w:rPr>
          <w:color w:val="000000"/>
        </w:rPr>
        <w:t>остики.</w:t>
      </w:r>
    </w:p>
    <w:p w14:paraId="4998CDD8" w14:textId="77777777" w:rsidR="00DF2190" w:rsidRDefault="008121AE" w:rsidP="003C08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Последнее время при конструировании новых методов определения </w:t>
      </w:r>
      <w:proofErr w:type="spellStart"/>
      <w:r>
        <w:rPr>
          <w:color w:val="000000"/>
        </w:rPr>
        <w:t>микроРНК</w:t>
      </w:r>
      <w:proofErr w:type="spellEnd"/>
      <w:r>
        <w:rPr>
          <w:color w:val="000000"/>
        </w:rPr>
        <w:t xml:space="preserve"> часто </w:t>
      </w:r>
      <w:r w:rsidR="001C7CC8">
        <w:rPr>
          <w:color w:val="000000"/>
        </w:rPr>
        <w:t xml:space="preserve">применяют </w:t>
      </w:r>
      <w:r>
        <w:rPr>
          <w:color w:val="000000"/>
        </w:rPr>
        <w:t xml:space="preserve">изотермические </w:t>
      </w:r>
      <w:r w:rsidR="001C7CC8">
        <w:rPr>
          <w:color w:val="000000"/>
        </w:rPr>
        <w:t xml:space="preserve">методы амплификации нуклеиновых кислот. </w:t>
      </w:r>
      <w:r w:rsidR="00772D01">
        <w:rPr>
          <w:color w:val="000000"/>
        </w:rPr>
        <w:t xml:space="preserve">Среди </w:t>
      </w:r>
      <w:r w:rsidR="001C7CC8">
        <w:rPr>
          <w:color w:val="000000"/>
        </w:rPr>
        <w:t xml:space="preserve"> </w:t>
      </w:r>
      <w:r w:rsidR="00772D01">
        <w:rPr>
          <w:color w:val="000000"/>
        </w:rPr>
        <w:t xml:space="preserve">таких методов одним из </w:t>
      </w:r>
      <w:r w:rsidR="001C7CC8">
        <w:rPr>
          <w:color w:val="000000"/>
        </w:rPr>
        <w:t xml:space="preserve">наиболее </w:t>
      </w:r>
      <w:r w:rsidR="00772D01">
        <w:rPr>
          <w:color w:val="000000"/>
        </w:rPr>
        <w:t>популярных</w:t>
      </w:r>
      <w:r w:rsidR="001C7CC8">
        <w:rPr>
          <w:color w:val="000000"/>
        </w:rPr>
        <w:t xml:space="preserve"> является </w:t>
      </w:r>
      <w:proofErr w:type="spellStart"/>
      <w:r w:rsidR="001C7CC8">
        <w:rPr>
          <w:color w:val="000000"/>
        </w:rPr>
        <w:t>амплификационный</w:t>
      </w:r>
      <w:proofErr w:type="spellEnd"/>
      <w:r w:rsidR="001C7CC8">
        <w:rPr>
          <w:color w:val="000000"/>
        </w:rPr>
        <w:t xml:space="preserve"> метод с полимеризацией и замещением (АМПЗ)</w:t>
      </w:r>
      <w:r w:rsidR="00772D01">
        <w:rPr>
          <w:color w:val="000000"/>
        </w:rPr>
        <w:t xml:space="preserve"> благодаря его простоте и эффективности</w:t>
      </w:r>
      <w:r w:rsidR="001C7CC8">
        <w:rPr>
          <w:color w:val="000000"/>
        </w:rPr>
        <w:t xml:space="preserve">. </w:t>
      </w:r>
      <w:r w:rsidR="00772D01">
        <w:rPr>
          <w:color w:val="000000"/>
        </w:rPr>
        <w:t>Одним из ключевых реагентов АМПЗ, определяющим эффективность амплификации, является</w:t>
      </w:r>
      <w:r w:rsidR="001C7CC8">
        <w:rPr>
          <w:color w:val="000000"/>
        </w:rPr>
        <w:t xml:space="preserve"> ДНК-полимераз</w:t>
      </w:r>
      <w:r w:rsidR="00772D01">
        <w:rPr>
          <w:color w:val="000000"/>
        </w:rPr>
        <w:t>а</w:t>
      </w:r>
      <w:r w:rsidR="001C7CC8">
        <w:rPr>
          <w:color w:val="000000"/>
        </w:rPr>
        <w:t>, обладающ</w:t>
      </w:r>
      <w:r w:rsidR="00772D01">
        <w:rPr>
          <w:color w:val="000000"/>
        </w:rPr>
        <w:t>ая</w:t>
      </w:r>
      <w:r w:rsidR="001C7CC8">
        <w:rPr>
          <w:color w:val="000000"/>
        </w:rPr>
        <w:t xml:space="preserve"> замещающей активностью. В основном, в качестве такой полимеразы применяют Большой Фрагмент Клёнова</w:t>
      </w:r>
      <w:r w:rsidR="001C7CC8" w:rsidRPr="001C7CC8">
        <w:rPr>
          <w:color w:val="000000"/>
        </w:rPr>
        <w:t xml:space="preserve"> (</w:t>
      </w:r>
      <w:r w:rsidR="001C7CC8">
        <w:rPr>
          <w:color w:val="000000"/>
        </w:rPr>
        <w:t xml:space="preserve">БФК) и Фрагмент Клёнова, лишенный </w:t>
      </w:r>
      <w:r w:rsidR="001C7CC8" w:rsidRPr="001C7CC8">
        <w:rPr>
          <w:color w:val="000000"/>
        </w:rPr>
        <w:t>3’-5’-</w:t>
      </w:r>
      <w:r w:rsidR="001C7CC8">
        <w:rPr>
          <w:color w:val="000000"/>
        </w:rPr>
        <w:t>экзонуклеазной активности (ФК</w:t>
      </w:r>
      <w:proofErr w:type="spellStart"/>
      <w:r w:rsidR="001C7CC8">
        <w:rPr>
          <w:color w:val="000000"/>
          <w:lang w:val="en-US"/>
        </w:rPr>
        <w:t>exo</w:t>
      </w:r>
      <w:proofErr w:type="spellEnd"/>
      <w:r w:rsidR="001C7CC8" w:rsidRPr="001C7CC8">
        <w:rPr>
          <w:color w:val="000000"/>
        </w:rPr>
        <w:t>-)</w:t>
      </w:r>
      <w:r w:rsidR="001C7CC8">
        <w:rPr>
          <w:color w:val="000000"/>
        </w:rPr>
        <w:t xml:space="preserve">. Однако, </w:t>
      </w:r>
      <w:r w:rsidR="00772D01">
        <w:rPr>
          <w:color w:val="000000"/>
        </w:rPr>
        <w:t xml:space="preserve">отсутствует информация, какой из этих ферментов, обладающих разными каталитическими свойствами, предпочтительнее использовать </w:t>
      </w:r>
      <w:r w:rsidR="00DF2190">
        <w:rPr>
          <w:color w:val="000000"/>
        </w:rPr>
        <w:t xml:space="preserve">в </w:t>
      </w:r>
      <w:r w:rsidR="00F93FA6">
        <w:rPr>
          <w:color w:val="000000"/>
        </w:rPr>
        <w:t>АМПЗ.</w:t>
      </w:r>
      <w:r w:rsidR="009D3C78">
        <w:rPr>
          <w:color w:val="000000"/>
        </w:rPr>
        <w:t xml:space="preserve"> </w:t>
      </w:r>
    </w:p>
    <w:p w14:paraId="061DB07D" w14:textId="2B3FADE1" w:rsidR="00DF2190" w:rsidRPr="00DF2190" w:rsidRDefault="00DF2190" w:rsidP="003C08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9D3C78">
        <w:rPr>
          <w:color w:val="000000"/>
        </w:rPr>
        <w:t xml:space="preserve"> нашей работе проведено </w:t>
      </w:r>
      <w:r>
        <w:rPr>
          <w:color w:val="000000"/>
        </w:rPr>
        <w:t>сравнение</w:t>
      </w:r>
      <w:r w:rsidR="009D3C78">
        <w:rPr>
          <w:color w:val="000000"/>
        </w:rPr>
        <w:t xml:space="preserve"> </w:t>
      </w:r>
      <w:r>
        <w:rPr>
          <w:color w:val="000000"/>
        </w:rPr>
        <w:t>эффективности БФК и ФК</w:t>
      </w:r>
      <w:proofErr w:type="spellStart"/>
      <w:r>
        <w:rPr>
          <w:color w:val="000000"/>
          <w:lang w:val="en-US"/>
        </w:rPr>
        <w:t>exo</w:t>
      </w:r>
      <w:proofErr w:type="spellEnd"/>
      <w:r w:rsidRPr="001C7CC8">
        <w:rPr>
          <w:color w:val="000000"/>
        </w:rPr>
        <w:t>-</w:t>
      </w:r>
      <w:r>
        <w:rPr>
          <w:color w:val="000000"/>
        </w:rPr>
        <w:t xml:space="preserve">, использованных в гетерогенном методе определения микроРНК-141, сопряженном с АМПЗ. В этом методе анализа в соответствии с теорией АМПЗ продуктом каскада реакций является дуплекс, сформированный исходным захватывающим зондом и удлиненным праймером. Показано, что при воздействии </w:t>
      </w:r>
      <w:r w:rsidR="001403C8">
        <w:rPr>
          <w:color w:val="000000"/>
        </w:rPr>
        <w:t xml:space="preserve">БФК </w:t>
      </w:r>
      <w:r w:rsidR="001403C8" w:rsidRPr="00DF2190">
        <w:rPr>
          <w:color w:val="000000"/>
        </w:rPr>
        <w:t>(</w:t>
      </w:r>
      <w:r w:rsidR="001403C8">
        <w:rPr>
          <w:color w:val="000000"/>
        </w:rPr>
        <w:t xml:space="preserve">в присутствие </w:t>
      </w:r>
      <w:proofErr w:type="spellStart"/>
      <w:r w:rsidR="001403C8">
        <w:rPr>
          <w:color w:val="000000"/>
        </w:rPr>
        <w:t>dNTP</w:t>
      </w:r>
      <w:proofErr w:type="spellEnd"/>
      <w:r w:rsidR="00973E67">
        <w:rPr>
          <w:color w:val="000000"/>
          <w:lang w:val="en-US"/>
        </w:rPr>
        <w:t>s</w:t>
      </w:r>
      <w:r w:rsidR="001403C8">
        <w:rPr>
          <w:color w:val="000000"/>
        </w:rPr>
        <w:t xml:space="preserve">) </w:t>
      </w:r>
      <w:r>
        <w:rPr>
          <w:color w:val="000000"/>
        </w:rPr>
        <w:t xml:space="preserve">на </w:t>
      </w:r>
      <w:r w:rsidR="001403C8">
        <w:rPr>
          <w:color w:val="000000"/>
        </w:rPr>
        <w:t>продукт, полученный в гетерогенном АМПЗ,</w:t>
      </w:r>
      <w:r>
        <w:rPr>
          <w:color w:val="000000"/>
        </w:rPr>
        <w:t xml:space="preserve"> </w:t>
      </w:r>
      <w:r w:rsidR="00D56381">
        <w:rPr>
          <w:color w:val="000000"/>
        </w:rPr>
        <w:t>количество иммобилизованного продукта со временем уменьшается</w:t>
      </w:r>
      <w:r w:rsidR="001403C8">
        <w:rPr>
          <w:color w:val="000000"/>
        </w:rPr>
        <w:t>, что обнаруживается по изменению аналитического сигнала</w:t>
      </w:r>
      <w:r w:rsidR="00D56381">
        <w:rPr>
          <w:color w:val="000000"/>
        </w:rPr>
        <w:t>. В то же время, обработка данного дуплекса с помощью ФК</w:t>
      </w:r>
      <w:proofErr w:type="spellStart"/>
      <w:r w:rsidR="00D56381">
        <w:rPr>
          <w:color w:val="000000"/>
          <w:lang w:val="en-US"/>
        </w:rPr>
        <w:t>exo</w:t>
      </w:r>
      <w:proofErr w:type="spellEnd"/>
      <w:r w:rsidR="00D56381" w:rsidRPr="001C7CC8">
        <w:rPr>
          <w:color w:val="000000"/>
        </w:rPr>
        <w:t>-</w:t>
      </w:r>
      <w:r w:rsidR="00D56381">
        <w:rPr>
          <w:color w:val="000000"/>
        </w:rPr>
        <w:t xml:space="preserve"> не приводила к </w:t>
      </w:r>
      <w:r w:rsidR="001403C8">
        <w:rPr>
          <w:color w:val="000000"/>
        </w:rPr>
        <w:t>изменению сигнала</w:t>
      </w:r>
      <w:r w:rsidR="00D56381">
        <w:rPr>
          <w:color w:val="000000"/>
        </w:rPr>
        <w:t xml:space="preserve">. </w:t>
      </w:r>
      <w:r w:rsidR="001403C8">
        <w:rPr>
          <w:color w:val="000000"/>
        </w:rPr>
        <w:t>По-видимому, неизменность количества продукта в случае ФК</w:t>
      </w:r>
      <w:proofErr w:type="spellStart"/>
      <w:r w:rsidR="001403C8">
        <w:rPr>
          <w:color w:val="000000"/>
          <w:lang w:val="en-US"/>
        </w:rPr>
        <w:t>exo</w:t>
      </w:r>
      <w:proofErr w:type="spellEnd"/>
      <w:r w:rsidR="001403C8" w:rsidRPr="001C7CC8">
        <w:rPr>
          <w:color w:val="000000"/>
        </w:rPr>
        <w:t>-</w:t>
      </w:r>
      <w:r w:rsidR="001403C8">
        <w:rPr>
          <w:color w:val="000000"/>
        </w:rPr>
        <w:t xml:space="preserve"> связана с отсутствием у этого фермента </w:t>
      </w:r>
      <w:r w:rsidR="001403C8" w:rsidRPr="001C7CC8">
        <w:rPr>
          <w:color w:val="000000"/>
        </w:rPr>
        <w:t>3’-5’-</w:t>
      </w:r>
      <w:r w:rsidR="001403C8">
        <w:rPr>
          <w:color w:val="000000"/>
        </w:rPr>
        <w:t>экзонуклеазной активности.</w:t>
      </w:r>
    </w:p>
    <w:p w14:paraId="26F68A1B" w14:textId="11B623EE" w:rsidR="00982ACA" w:rsidRDefault="001403C8" w:rsidP="007A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 как найденный </w:t>
      </w:r>
      <w:r w:rsidR="0001320F">
        <w:rPr>
          <w:color w:val="000000"/>
        </w:rPr>
        <w:t xml:space="preserve">эффект </w:t>
      </w:r>
      <w:r w:rsidR="00820EB1">
        <w:rPr>
          <w:color w:val="000000"/>
        </w:rPr>
        <w:t xml:space="preserve">может </w:t>
      </w:r>
      <w:r w:rsidR="0001320F">
        <w:rPr>
          <w:color w:val="000000"/>
        </w:rPr>
        <w:t>приводит</w:t>
      </w:r>
      <w:r w:rsidR="00820EB1">
        <w:rPr>
          <w:color w:val="000000"/>
        </w:rPr>
        <w:t>ь</w:t>
      </w:r>
      <w:r w:rsidR="0001320F">
        <w:rPr>
          <w:color w:val="000000"/>
        </w:rPr>
        <w:t xml:space="preserve"> к снижению степен</w:t>
      </w:r>
      <w:r w:rsidR="00820EB1">
        <w:rPr>
          <w:color w:val="000000"/>
        </w:rPr>
        <w:t>и</w:t>
      </w:r>
      <w:r w:rsidR="0001320F">
        <w:rPr>
          <w:color w:val="000000"/>
        </w:rPr>
        <w:t xml:space="preserve"> амплификации</w:t>
      </w:r>
      <w:r w:rsidR="00820EB1">
        <w:rPr>
          <w:color w:val="000000"/>
        </w:rPr>
        <w:t xml:space="preserve"> и, соответственно, к уменьшению чувствительности анализа, разработанного с применением АМПЗ,</w:t>
      </w:r>
      <w:r w:rsidR="009D3C78">
        <w:rPr>
          <w:color w:val="000000"/>
        </w:rPr>
        <w:t xml:space="preserve"> </w:t>
      </w:r>
      <w:r w:rsidR="0001320F">
        <w:rPr>
          <w:color w:val="000000"/>
        </w:rPr>
        <w:t>применение</w:t>
      </w:r>
      <w:r w:rsidR="00820EB1">
        <w:rPr>
          <w:color w:val="000000"/>
        </w:rPr>
        <w:t xml:space="preserve"> ФК</w:t>
      </w:r>
      <w:proofErr w:type="spellStart"/>
      <w:r w:rsidR="0001320F">
        <w:rPr>
          <w:color w:val="000000"/>
          <w:lang w:val="en-US"/>
        </w:rPr>
        <w:t>exo</w:t>
      </w:r>
      <w:proofErr w:type="spellEnd"/>
      <w:r w:rsidR="0001320F" w:rsidRPr="0001320F">
        <w:rPr>
          <w:color w:val="000000"/>
        </w:rPr>
        <w:t xml:space="preserve">- </w:t>
      </w:r>
      <w:r w:rsidR="0001320F">
        <w:rPr>
          <w:color w:val="000000"/>
        </w:rPr>
        <w:t xml:space="preserve">вместо БФК </w:t>
      </w:r>
      <w:r w:rsidR="00820EB1">
        <w:rPr>
          <w:color w:val="000000"/>
        </w:rPr>
        <w:t xml:space="preserve">может </w:t>
      </w:r>
      <w:r w:rsidR="0001320F">
        <w:rPr>
          <w:color w:val="000000"/>
        </w:rPr>
        <w:t>позвол</w:t>
      </w:r>
      <w:r w:rsidR="00820EB1">
        <w:rPr>
          <w:color w:val="000000"/>
        </w:rPr>
        <w:t>ить</w:t>
      </w:r>
      <w:r w:rsidR="0001320F">
        <w:rPr>
          <w:color w:val="000000"/>
        </w:rPr>
        <w:t xml:space="preserve"> </w:t>
      </w:r>
      <w:r w:rsidR="00820EB1">
        <w:rPr>
          <w:color w:val="000000"/>
        </w:rPr>
        <w:t>улучшить аналитические параметры метода анализа. При проверк</w:t>
      </w:r>
      <w:r w:rsidR="00E845E3">
        <w:rPr>
          <w:color w:val="000000"/>
        </w:rPr>
        <w:t>е</w:t>
      </w:r>
      <w:r w:rsidR="00820EB1">
        <w:rPr>
          <w:color w:val="000000"/>
        </w:rPr>
        <w:t xml:space="preserve"> этой гипотезы показано, что в случае применения ФК</w:t>
      </w:r>
      <w:proofErr w:type="spellStart"/>
      <w:r w:rsidR="00820EB1">
        <w:rPr>
          <w:color w:val="000000"/>
          <w:lang w:val="en-US"/>
        </w:rPr>
        <w:t>exo</w:t>
      </w:r>
      <w:proofErr w:type="spellEnd"/>
      <w:r w:rsidR="00820EB1" w:rsidRPr="0001320F">
        <w:rPr>
          <w:color w:val="000000"/>
        </w:rPr>
        <w:t>-</w:t>
      </w:r>
      <w:r w:rsidR="00820EB1">
        <w:rPr>
          <w:color w:val="000000"/>
        </w:rPr>
        <w:t xml:space="preserve"> предел обнаружения </w:t>
      </w:r>
      <w:r w:rsidR="0001320F">
        <w:rPr>
          <w:color w:val="000000"/>
        </w:rPr>
        <w:t>микроРНК</w:t>
      </w:r>
      <w:r w:rsidR="00820EB1">
        <w:rPr>
          <w:color w:val="000000"/>
        </w:rPr>
        <w:t>-141</w:t>
      </w:r>
      <w:r w:rsidR="0001320F">
        <w:rPr>
          <w:color w:val="000000"/>
        </w:rPr>
        <w:t xml:space="preserve"> </w:t>
      </w:r>
      <w:r w:rsidR="00820EB1">
        <w:rPr>
          <w:color w:val="000000"/>
        </w:rPr>
        <w:t xml:space="preserve">равен 1,7 </w:t>
      </w:r>
      <w:proofErr w:type="spellStart"/>
      <w:r w:rsidR="00820EB1">
        <w:rPr>
          <w:color w:val="000000"/>
        </w:rPr>
        <w:t>фМ</w:t>
      </w:r>
      <w:proofErr w:type="spellEnd"/>
      <w:r w:rsidR="00820EB1">
        <w:rPr>
          <w:color w:val="000000"/>
        </w:rPr>
        <w:t xml:space="preserve">. Данная величина  </w:t>
      </w:r>
      <w:r w:rsidR="0001320F">
        <w:rPr>
          <w:color w:val="000000"/>
        </w:rPr>
        <w:t xml:space="preserve">в 30 раз </w:t>
      </w:r>
      <w:r w:rsidR="00820EB1">
        <w:rPr>
          <w:color w:val="000000"/>
        </w:rPr>
        <w:t xml:space="preserve">ниже величины предела обнаружения с применением БФК. Более того, </w:t>
      </w:r>
      <w:r w:rsidR="0001320F">
        <w:rPr>
          <w:color w:val="000000"/>
        </w:rPr>
        <w:t xml:space="preserve">коэффициент чувствительности анализа </w:t>
      </w:r>
      <w:r w:rsidR="00820EB1">
        <w:rPr>
          <w:color w:val="000000"/>
        </w:rPr>
        <w:t>при использовании ФК</w:t>
      </w:r>
      <w:proofErr w:type="spellStart"/>
      <w:r w:rsidR="00820EB1">
        <w:rPr>
          <w:color w:val="000000"/>
          <w:lang w:val="en-US"/>
        </w:rPr>
        <w:t>exo</w:t>
      </w:r>
      <w:proofErr w:type="spellEnd"/>
      <w:r w:rsidR="00820EB1" w:rsidRPr="0001320F">
        <w:rPr>
          <w:color w:val="000000"/>
        </w:rPr>
        <w:t>-</w:t>
      </w:r>
      <w:r w:rsidR="00820EB1">
        <w:rPr>
          <w:color w:val="000000"/>
        </w:rPr>
        <w:t xml:space="preserve"> увеличился более, чем</w:t>
      </w:r>
      <w:r w:rsidR="0001320F">
        <w:rPr>
          <w:color w:val="000000"/>
        </w:rPr>
        <w:t xml:space="preserve"> в 3 раза</w:t>
      </w:r>
      <w:r w:rsidR="00820EB1">
        <w:rPr>
          <w:color w:val="000000"/>
        </w:rPr>
        <w:t xml:space="preserve"> по сравнению с использованием БФК</w:t>
      </w:r>
      <w:r w:rsidR="0001320F">
        <w:rPr>
          <w:color w:val="000000"/>
        </w:rPr>
        <w:t>.</w:t>
      </w:r>
      <w:r w:rsidR="00E845E3">
        <w:rPr>
          <w:color w:val="000000"/>
        </w:rPr>
        <w:t xml:space="preserve"> Таким образом, показано, что при проведении АМПЗ предпочтительнее использовать ФК</w:t>
      </w:r>
      <w:proofErr w:type="spellStart"/>
      <w:r w:rsidR="00E845E3">
        <w:rPr>
          <w:color w:val="000000"/>
          <w:lang w:val="en-US"/>
        </w:rPr>
        <w:t>exo</w:t>
      </w:r>
      <w:proofErr w:type="spellEnd"/>
      <w:r w:rsidR="00E845E3" w:rsidRPr="0001320F">
        <w:rPr>
          <w:color w:val="000000"/>
        </w:rPr>
        <w:t>-</w:t>
      </w:r>
      <w:r w:rsidR="00E845E3">
        <w:rPr>
          <w:color w:val="000000"/>
        </w:rPr>
        <w:t>.</w:t>
      </w:r>
    </w:p>
    <w:p w14:paraId="5B1CF7E9" w14:textId="45EF8B0C" w:rsidR="00A02163" w:rsidRPr="00A02163" w:rsidRDefault="007A5D9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A5D9E">
        <w:rPr>
          <w:i/>
          <w:iCs/>
          <w:color w:val="000000"/>
        </w:rPr>
        <w:t>Работа выполнена в рамках российско-китайского проекта, финансируемого РФФИ/Государственным фондом естественных наук Китая (21-54-53007/2201101378).</w:t>
      </w:r>
    </w:p>
    <w:p w14:paraId="015F9824" w14:textId="77777777" w:rsidR="00116478" w:rsidRPr="001C7CC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1C7CC8" w:rsidSect="00A956A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75922">
    <w:abstractNumId w:val="0"/>
  </w:num>
  <w:num w:numId="2" w16cid:durableId="170833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1320F"/>
    <w:rsid w:val="00063966"/>
    <w:rsid w:val="00086081"/>
    <w:rsid w:val="00101A1C"/>
    <w:rsid w:val="00106375"/>
    <w:rsid w:val="00116478"/>
    <w:rsid w:val="00130241"/>
    <w:rsid w:val="001403C8"/>
    <w:rsid w:val="001C7CC8"/>
    <w:rsid w:val="001E61C2"/>
    <w:rsid w:val="001F0493"/>
    <w:rsid w:val="002264EE"/>
    <w:rsid w:val="0023307C"/>
    <w:rsid w:val="0031361E"/>
    <w:rsid w:val="00391C38"/>
    <w:rsid w:val="003B76D6"/>
    <w:rsid w:val="003C082E"/>
    <w:rsid w:val="004953A1"/>
    <w:rsid w:val="004A26A3"/>
    <w:rsid w:val="004F0EDF"/>
    <w:rsid w:val="00522BF1"/>
    <w:rsid w:val="00590166"/>
    <w:rsid w:val="006F7A19"/>
    <w:rsid w:val="00772D01"/>
    <w:rsid w:val="00775389"/>
    <w:rsid w:val="00797838"/>
    <w:rsid w:val="007A5D9E"/>
    <w:rsid w:val="007C36D8"/>
    <w:rsid w:val="007F2744"/>
    <w:rsid w:val="008121AE"/>
    <w:rsid w:val="00820EB1"/>
    <w:rsid w:val="008931BE"/>
    <w:rsid w:val="00921D45"/>
    <w:rsid w:val="00973E67"/>
    <w:rsid w:val="00982ACA"/>
    <w:rsid w:val="009A66DB"/>
    <w:rsid w:val="009B2F80"/>
    <w:rsid w:val="009B3300"/>
    <w:rsid w:val="009D3C78"/>
    <w:rsid w:val="009E1DED"/>
    <w:rsid w:val="009F3380"/>
    <w:rsid w:val="00A02163"/>
    <w:rsid w:val="00A314FE"/>
    <w:rsid w:val="00A956A2"/>
    <w:rsid w:val="00AF4683"/>
    <w:rsid w:val="00BF36F8"/>
    <w:rsid w:val="00BF4622"/>
    <w:rsid w:val="00CD00B1"/>
    <w:rsid w:val="00D22306"/>
    <w:rsid w:val="00D32CD3"/>
    <w:rsid w:val="00D42542"/>
    <w:rsid w:val="00D56381"/>
    <w:rsid w:val="00D8121C"/>
    <w:rsid w:val="00DF2190"/>
    <w:rsid w:val="00E22189"/>
    <w:rsid w:val="00E74069"/>
    <w:rsid w:val="00E845E3"/>
    <w:rsid w:val="00EB1F49"/>
    <w:rsid w:val="00F865B3"/>
    <w:rsid w:val="00F93FA6"/>
    <w:rsid w:val="00FB1509"/>
    <w:rsid w:val="00FD0AB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4744"/>
  <w15:docId w15:val="{6222B7C5-E12F-4382-9149-B546CB84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956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56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56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56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56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56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56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56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56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l08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D474B-3C5E-4D51-9446-F37A70C0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Сахаров</dc:creator>
  <cp:lastModifiedBy>FOS</cp:lastModifiedBy>
  <cp:revision>5</cp:revision>
  <dcterms:created xsi:type="dcterms:W3CDTF">2023-02-15T11:10:00Z</dcterms:created>
  <dcterms:modified xsi:type="dcterms:W3CDTF">2023-02-15T11:51:00Z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