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5C75FED" w:rsidR="00130241" w:rsidRPr="00CB22DA" w:rsidRDefault="00CB22DA" w:rsidP="00CB22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Получение ДНК-</w:t>
      </w:r>
      <w:proofErr w:type="spellStart"/>
      <w:r>
        <w:rPr>
          <w:b/>
          <w:color w:val="000000"/>
        </w:rPr>
        <w:t>аптамера</w:t>
      </w:r>
      <w:proofErr w:type="spellEnd"/>
      <w:r>
        <w:rPr>
          <w:b/>
          <w:color w:val="000000"/>
        </w:rPr>
        <w:t xml:space="preserve"> к γ-</w:t>
      </w:r>
      <w:proofErr w:type="spellStart"/>
      <w:r>
        <w:rPr>
          <w:b/>
          <w:color w:val="000000"/>
        </w:rPr>
        <w:t>аминомаслянной</w:t>
      </w:r>
      <w:proofErr w:type="spellEnd"/>
      <w:r>
        <w:rPr>
          <w:b/>
          <w:color w:val="000000"/>
        </w:rPr>
        <w:t xml:space="preserve"> кислоте</w:t>
      </w:r>
    </w:p>
    <w:p w14:paraId="00000002" w14:textId="0A9583A2" w:rsidR="00130241" w:rsidRDefault="00CB22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Тихонова Т.С</w:t>
      </w:r>
      <w:r w:rsidR="00D62997">
        <w:rPr>
          <w:b/>
          <w:i/>
          <w:color w:val="000000"/>
        </w:rPr>
        <w:t>.</w:t>
      </w:r>
    </w:p>
    <w:p w14:paraId="00000003" w14:textId="4CE2D986" w:rsidR="00130241" w:rsidRDefault="00CB22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4E1D4A">
        <w:rPr>
          <w:i/>
          <w:color w:val="000000"/>
        </w:rPr>
        <w:t>ка</w:t>
      </w:r>
      <w:r>
        <w:rPr>
          <w:i/>
          <w:color w:val="000000"/>
        </w:rPr>
        <w:t>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63B64A1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012906A9" w:rsidR="00CD00B1" w:rsidRPr="00306017" w:rsidRDefault="00EB1F49" w:rsidP="00D62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2997">
        <w:rPr>
          <w:i/>
          <w:color w:val="000000"/>
          <w:lang w:val="en-US"/>
        </w:rPr>
        <w:t>E</w:t>
      </w:r>
      <w:r w:rsidR="003B76D6" w:rsidRPr="00306017">
        <w:rPr>
          <w:i/>
          <w:color w:val="000000"/>
        </w:rPr>
        <w:t>-</w:t>
      </w:r>
      <w:r w:rsidR="00D62997" w:rsidRPr="00D62997">
        <w:rPr>
          <w:i/>
          <w:color w:val="000000"/>
          <w:lang w:val="en-US"/>
        </w:rPr>
        <w:t>mail</w:t>
      </w:r>
      <w:r w:rsidR="00D62997" w:rsidRPr="00306017">
        <w:rPr>
          <w:i/>
          <w:color w:val="000000"/>
        </w:rPr>
        <w:t xml:space="preserve">: </w:t>
      </w:r>
      <w:proofErr w:type="spellStart"/>
      <w:r w:rsidR="00D62997">
        <w:rPr>
          <w:i/>
          <w:color w:val="000000"/>
          <w:u w:val="single"/>
          <w:lang w:val="en-US"/>
        </w:rPr>
        <w:t>tanya</w:t>
      </w:r>
      <w:proofErr w:type="spellEnd"/>
      <w:r w:rsidR="00D62997" w:rsidRPr="00306017">
        <w:rPr>
          <w:i/>
          <w:color w:val="000000"/>
          <w:u w:val="single"/>
        </w:rPr>
        <w:t>-</w:t>
      </w:r>
      <w:proofErr w:type="spellStart"/>
      <w:r w:rsidR="00D62997">
        <w:rPr>
          <w:i/>
          <w:color w:val="000000"/>
          <w:u w:val="single"/>
          <w:lang w:val="en-US"/>
        </w:rPr>
        <w:t>eremina</w:t>
      </w:r>
      <w:proofErr w:type="spellEnd"/>
      <w:r w:rsidR="00D62997" w:rsidRPr="00306017">
        <w:rPr>
          <w:i/>
          <w:color w:val="000000"/>
          <w:u w:val="single"/>
        </w:rPr>
        <w:t>-2017@</w:t>
      </w:r>
      <w:r w:rsidR="00D62997" w:rsidRPr="00D62997">
        <w:rPr>
          <w:i/>
          <w:color w:val="000000"/>
          <w:u w:val="single"/>
          <w:lang w:val="en-US"/>
        </w:rPr>
        <w:t>mail</w:t>
      </w:r>
      <w:r w:rsidRPr="00306017">
        <w:rPr>
          <w:i/>
          <w:color w:val="000000"/>
          <w:u w:val="single"/>
        </w:rPr>
        <w:t>.</w:t>
      </w:r>
      <w:proofErr w:type="spellStart"/>
      <w:r w:rsidRPr="00D62997">
        <w:rPr>
          <w:i/>
          <w:color w:val="000000"/>
          <w:u w:val="single"/>
          <w:lang w:val="en-US"/>
        </w:rPr>
        <w:t>ru</w:t>
      </w:r>
      <w:proofErr w:type="spellEnd"/>
      <w:r w:rsidRPr="00306017">
        <w:rPr>
          <w:i/>
          <w:color w:val="000000"/>
        </w:rPr>
        <w:t xml:space="preserve"> </w:t>
      </w:r>
    </w:p>
    <w:p w14:paraId="5C3A525C" w14:textId="6490B0B4" w:rsidR="00D62997" w:rsidRDefault="00D62997" w:rsidP="00094ECA">
      <w:pPr>
        <w:ind w:firstLine="397"/>
        <w:jc w:val="both"/>
        <w:rPr>
          <w:color w:val="202122"/>
          <w:shd w:val="clear" w:color="auto" w:fill="FFFFFF"/>
        </w:rPr>
      </w:pPr>
      <w:r w:rsidRPr="004448F9">
        <w:rPr>
          <w:rStyle w:val="ts-math"/>
          <w:bCs/>
          <w:color w:val="202122"/>
          <w:shd w:val="clear" w:color="auto" w:fill="FFFFFF"/>
        </w:rPr>
        <w:t>γ</w:t>
      </w:r>
      <w:r w:rsidRPr="004448F9">
        <w:rPr>
          <w:bCs/>
          <w:color w:val="202122"/>
          <w:shd w:val="clear" w:color="auto" w:fill="FFFFFF"/>
        </w:rPr>
        <w:t>-Аминомасляная кислота</w:t>
      </w:r>
      <w:r w:rsidRPr="004448F9">
        <w:rPr>
          <w:color w:val="202122"/>
          <w:shd w:val="clear" w:color="auto" w:fill="FFFFFF"/>
        </w:rPr>
        <w:t> (</w:t>
      </w:r>
      <w:r w:rsidRPr="004448F9">
        <w:rPr>
          <w:iCs/>
          <w:color w:val="202122"/>
          <w:shd w:val="clear" w:color="auto" w:fill="FFFFFF"/>
        </w:rPr>
        <w:t>ГАМК</w:t>
      </w:r>
      <w:r w:rsidRPr="004448F9">
        <w:rPr>
          <w:i/>
          <w:iCs/>
          <w:color w:val="202122"/>
          <w:shd w:val="clear" w:color="auto" w:fill="FFFFFF"/>
        </w:rPr>
        <w:t>)</w:t>
      </w:r>
      <w:r w:rsidRPr="004448F9">
        <w:rPr>
          <w:color w:val="202122"/>
          <w:shd w:val="clear" w:color="auto" w:fill="FFFFFF"/>
        </w:rPr>
        <w:t> —  </w:t>
      </w:r>
      <w:proofErr w:type="spellStart"/>
      <w:r w:rsidRPr="004448F9">
        <w:rPr>
          <w:shd w:val="clear" w:color="auto" w:fill="FFFFFF"/>
        </w:rPr>
        <w:t>непротеиногенная</w:t>
      </w:r>
      <w:proofErr w:type="spellEnd"/>
      <w:r w:rsidRPr="004448F9">
        <w:rPr>
          <w:shd w:val="clear" w:color="auto" w:fill="FFFFFF"/>
        </w:rPr>
        <w:t xml:space="preserve"> аминокислота</w:t>
      </w:r>
      <w:r w:rsidRPr="004448F9">
        <w:rPr>
          <w:color w:val="202122"/>
          <w:shd w:val="clear" w:color="auto" w:fill="FFFFFF"/>
        </w:rPr>
        <w:t>, важнейший </w:t>
      </w:r>
      <w:r w:rsidRPr="004448F9">
        <w:rPr>
          <w:shd w:val="clear" w:color="auto" w:fill="FFFFFF"/>
        </w:rPr>
        <w:t>тормозной</w:t>
      </w:r>
      <w:r w:rsidRPr="004448F9">
        <w:rPr>
          <w:color w:val="202122"/>
          <w:shd w:val="clear" w:color="auto" w:fill="FFFFFF"/>
        </w:rPr>
        <w:t> </w:t>
      </w:r>
      <w:proofErr w:type="spellStart"/>
      <w:r w:rsidRPr="004448F9">
        <w:rPr>
          <w:shd w:val="clear" w:color="auto" w:fill="FFFFFF"/>
        </w:rPr>
        <w:t>нейромедиатор</w:t>
      </w:r>
      <w:proofErr w:type="spellEnd"/>
      <w:r w:rsidRPr="004448F9">
        <w:rPr>
          <w:color w:val="202122"/>
          <w:shd w:val="clear" w:color="auto" w:fill="FFFFFF"/>
        </w:rPr>
        <w:t> </w:t>
      </w:r>
      <w:r w:rsidRPr="004448F9">
        <w:rPr>
          <w:shd w:val="clear" w:color="auto" w:fill="FFFFFF"/>
        </w:rPr>
        <w:t>центральной нервной системы</w:t>
      </w:r>
      <w:r w:rsidRPr="004448F9">
        <w:rPr>
          <w:color w:val="202122"/>
          <w:shd w:val="clear" w:color="auto" w:fill="FFFFFF"/>
        </w:rPr>
        <w:t xml:space="preserve"> (ЦНС) человека и других млекопитающих. </w:t>
      </w:r>
      <w:r w:rsidRPr="004448F9">
        <w:rPr>
          <w:iCs/>
          <w:color w:val="202122"/>
          <w:shd w:val="clear" w:color="auto" w:fill="FFFFFF"/>
        </w:rPr>
        <w:t>ГАМК</w:t>
      </w:r>
      <w:r w:rsidRPr="004448F9">
        <w:rPr>
          <w:color w:val="202122"/>
          <w:shd w:val="clear" w:color="auto" w:fill="FFFFFF"/>
        </w:rPr>
        <w:t xml:space="preserve"> ассоциирована с рядом </w:t>
      </w:r>
      <w:proofErr w:type="spellStart"/>
      <w:r w:rsidRPr="004448F9">
        <w:rPr>
          <w:color w:val="202122"/>
          <w:shd w:val="clear" w:color="auto" w:fill="FFFFFF"/>
        </w:rPr>
        <w:t>нейропатологий</w:t>
      </w:r>
      <w:proofErr w:type="spellEnd"/>
      <w:r w:rsidRPr="004448F9">
        <w:rPr>
          <w:color w:val="202122"/>
          <w:shd w:val="clear" w:color="auto" w:fill="FFFFFF"/>
        </w:rPr>
        <w:t xml:space="preserve">: различные тревожные расстройства, дефицит внимания, </w:t>
      </w:r>
      <w:proofErr w:type="spellStart"/>
      <w:r w:rsidRPr="004448F9">
        <w:rPr>
          <w:color w:val="202122"/>
          <w:shd w:val="clear" w:color="auto" w:fill="FFFFFF"/>
        </w:rPr>
        <w:t>гиперактивность</w:t>
      </w:r>
      <w:proofErr w:type="spellEnd"/>
      <w:r w:rsidRPr="004448F9">
        <w:rPr>
          <w:color w:val="202122"/>
          <w:shd w:val="clear" w:color="auto" w:fill="FFFFFF"/>
        </w:rPr>
        <w:t xml:space="preserve">, эпилепсия. Одним из перспективных инструментов </w:t>
      </w:r>
      <w:proofErr w:type="spellStart"/>
      <w:r w:rsidRPr="004448F9">
        <w:rPr>
          <w:color w:val="202122"/>
          <w:shd w:val="clear" w:color="auto" w:fill="FFFFFF"/>
        </w:rPr>
        <w:t>детекции</w:t>
      </w:r>
      <w:proofErr w:type="spellEnd"/>
      <w:r w:rsidRPr="004448F9">
        <w:rPr>
          <w:color w:val="202122"/>
          <w:shd w:val="clear" w:color="auto" w:fill="FFFFFF"/>
        </w:rPr>
        <w:t xml:space="preserve"> ГАМК являются </w:t>
      </w:r>
      <w:proofErr w:type="spellStart"/>
      <w:r w:rsidRPr="004448F9">
        <w:rPr>
          <w:color w:val="202122"/>
          <w:shd w:val="clear" w:color="auto" w:fill="FFFFFF"/>
        </w:rPr>
        <w:t>аптасенсоры</w:t>
      </w:r>
      <w:proofErr w:type="spellEnd"/>
      <w:r w:rsidRPr="004448F9">
        <w:rPr>
          <w:color w:val="202122"/>
          <w:shd w:val="clear" w:color="auto" w:fill="FFFFFF"/>
        </w:rPr>
        <w:t>.</w:t>
      </w:r>
    </w:p>
    <w:p w14:paraId="52E78D7F" w14:textId="4EC4877A" w:rsidR="00D62997" w:rsidRDefault="00D62997" w:rsidP="00657247">
      <w:pPr>
        <w:ind w:firstLine="397"/>
        <w:jc w:val="both"/>
      </w:pPr>
      <w:proofErr w:type="spellStart"/>
      <w:r w:rsidRPr="00657247">
        <w:t>Аптамеры</w:t>
      </w:r>
      <w:proofErr w:type="spellEnd"/>
      <w:r w:rsidRPr="00657247">
        <w:t xml:space="preserve"> представляют собой короткие </w:t>
      </w:r>
      <w:proofErr w:type="spellStart"/>
      <w:r w:rsidRPr="00657247">
        <w:t>одноцепочечные</w:t>
      </w:r>
      <w:proofErr w:type="spellEnd"/>
      <w:r w:rsidRPr="00657247">
        <w:t xml:space="preserve"> </w:t>
      </w:r>
      <w:proofErr w:type="spellStart"/>
      <w:r w:rsidRPr="00657247">
        <w:t>олигонуклеотиды</w:t>
      </w:r>
      <w:proofErr w:type="spellEnd"/>
      <w:r w:rsidRPr="00657247">
        <w:t xml:space="preserve"> (</w:t>
      </w:r>
      <w:proofErr w:type="spellStart"/>
      <w:r w:rsidRPr="00657247">
        <w:t>ssDNA</w:t>
      </w:r>
      <w:proofErr w:type="spellEnd"/>
      <w:r w:rsidRPr="00657247">
        <w:t xml:space="preserve"> или РНК) с высоким сродством и специфичностью к мишеням. Главными преимуществами </w:t>
      </w:r>
      <w:proofErr w:type="spellStart"/>
      <w:r w:rsidRPr="00657247">
        <w:t>аптамеров</w:t>
      </w:r>
      <w:proofErr w:type="spellEnd"/>
      <w:r w:rsidRPr="00657247">
        <w:t xml:space="preserve"> являются </w:t>
      </w:r>
      <w:proofErr w:type="spellStart"/>
      <w:r w:rsidRPr="00657247">
        <w:t>термостабильность</w:t>
      </w:r>
      <w:proofErr w:type="spellEnd"/>
      <w:r w:rsidRPr="00657247">
        <w:t xml:space="preserve">, низкая стоимость синтеза, простота введения химических модификаций и способность к регенерации. </w:t>
      </w:r>
      <w:proofErr w:type="spellStart"/>
      <w:r w:rsidR="008A69A5">
        <w:t>Аптамеров</w:t>
      </w:r>
      <w:proofErr w:type="spellEnd"/>
      <w:r w:rsidR="008A69A5">
        <w:t xml:space="preserve"> к ГАМК в настоящее время в литературе не описано.</w:t>
      </w:r>
    </w:p>
    <w:p w14:paraId="48FF4DF9" w14:textId="12191EAD" w:rsidR="00FE4958" w:rsidRPr="007D63E8" w:rsidRDefault="00657247" w:rsidP="00FE4958">
      <w:pPr>
        <w:ind w:firstLine="397"/>
        <w:jc w:val="both"/>
      </w:pPr>
      <w:proofErr w:type="spellStart"/>
      <w:r w:rsidRPr="00657247">
        <w:t>Аптамеры</w:t>
      </w:r>
      <w:proofErr w:type="spellEnd"/>
      <w:r w:rsidRPr="00657247">
        <w:t xml:space="preserve"> к конкретной мишени могут быть получены путем итеративного отбора молекул, связывающих мишень, из большой библиотеки случайных </w:t>
      </w:r>
      <w:proofErr w:type="spellStart"/>
      <w:r w:rsidRPr="00657247">
        <w:t>олигонуклеотидных</w:t>
      </w:r>
      <w:proofErr w:type="spellEnd"/>
      <w:r w:rsidRPr="00657247">
        <w:t xml:space="preserve"> последовательностей. Данная</w:t>
      </w:r>
      <w:r w:rsidRPr="00657247">
        <w:rPr>
          <w:lang w:val="en-US"/>
        </w:rPr>
        <w:t xml:space="preserve"> </w:t>
      </w:r>
      <w:r w:rsidRPr="00657247">
        <w:t>технология</w:t>
      </w:r>
      <w:r w:rsidRPr="00657247">
        <w:rPr>
          <w:lang w:val="en-US"/>
        </w:rPr>
        <w:t xml:space="preserve"> </w:t>
      </w:r>
      <w:r w:rsidRPr="00657247">
        <w:t>получила</w:t>
      </w:r>
      <w:r w:rsidRPr="00657247">
        <w:rPr>
          <w:lang w:val="en-US"/>
        </w:rPr>
        <w:t xml:space="preserve"> </w:t>
      </w:r>
      <w:r w:rsidRPr="00657247">
        <w:t>название</w:t>
      </w:r>
      <w:r w:rsidRPr="00657247">
        <w:rPr>
          <w:lang w:val="en-US"/>
        </w:rPr>
        <w:t xml:space="preserve"> SELEX (Systematic Evolution of Ligands by </w:t>
      </w:r>
      <w:proofErr w:type="spellStart"/>
      <w:r w:rsidRPr="00657247">
        <w:rPr>
          <w:lang w:val="en-US"/>
        </w:rPr>
        <w:t>EXponential</w:t>
      </w:r>
      <w:proofErr w:type="spellEnd"/>
      <w:r w:rsidRPr="00657247">
        <w:rPr>
          <w:lang w:val="en-US"/>
        </w:rPr>
        <w:t xml:space="preserve"> enrichment). </w:t>
      </w:r>
      <w:r w:rsidR="008A69A5">
        <w:t>Н</w:t>
      </w:r>
      <w:r w:rsidR="00FE4958" w:rsidRPr="00657247">
        <w:t xml:space="preserve">аиболее подходящим для низкомолекулярных соединений </w:t>
      </w:r>
      <w:r w:rsidR="008A69A5">
        <w:t xml:space="preserve">подходом </w:t>
      </w:r>
      <w:r w:rsidR="00FE4958">
        <w:t xml:space="preserve">является </w:t>
      </w:r>
      <w:proofErr w:type="spellStart"/>
      <w:r w:rsidR="00FE4958">
        <w:t>Capture</w:t>
      </w:r>
      <w:proofErr w:type="spellEnd"/>
      <w:r w:rsidR="00FE4958">
        <w:t>-</w:t>
      </w:r>
      <w:r w:rsidR="00FE4958" w:rsidRPr="00657247">
        <w:t>SELEX</w:t>
      </w:r>
      <w:r w:rsidR="00FE4958" w:rsidRPr="00FE55D6">
        <w:t xml:space="preserve"> [</w:t>
      </w:r>
      <w:r w:rsidR="00FE4958">
        <w:t>1</w:t>
      </w:r>
      <w:r w:rsidR="00FE4958" w:rsidRPr="00FE55D6">
        <w:t>]</w:t>
      </w:r>
      <w:r w:rsidR="00FE4958" w:rsidRPr="00657247">
        <w:t xml:space="preserve">. Суть </w:t>
      </w:r>
      <w:r w:rsidR="008A69A5">
        <w:t>его</w:t>
      </w:r>
      <w:r w:rsidR="00FE4958" w:rsidRPr="00657247">
        <w:t xml:space="preserve"> заключается в обратимой иммобилизации библиотеки на носителе и ее последующей инкубации с раствором мишени. Специфичные к мишени последовательности уходят в раствор, а не связавшиеся остаются на носителе. Молекулы ДНК, вышедшие в раствор, </w:t>
      </w:r>
      <w:proofErr w:type="spellStart"/>
      <w:r w:rsidR="00FE4958" w:rsidRPr="00657247">
        <w:t>амплифицируют</w:t>
      </w:r>
      <w:proofErr w:type="spellEnd"/>
      <w:r w:rsidR="00FE4958" w:rsidRPr="00657247">
        <w:t xml:space="preserve"> с помощью ПЦР. Из ПЦР-продукта снова регенерируют библиотеку </w:t>
      </w:r>
      <w:proofErr w:type="spellStart"/>
      <w:r w:rsidR="00FE4958" w:rsidRPr="00657247">
        <w:t>одноцепочечной</w:t>
      </w:r>
      <w:proofErr w:type="spellEnd"/>
      <w:r w:rsidR="00FE4958" w:rsidRPr="00657247">
        <w:t xml:space="preserve"> ДНК, которая обогащена аффинными к мишени последовательностями</w:t>
      </w:r>
      <w:r w:rsidR="008A69A5">
        <w:t>.</w:t>
      </w:r>
    </w:p>
    <w:p w14:paraId="05FCA175" w14:textId="7D2C75C1" w:rsidR="00657247" w:rsidRDefault="00306017" w:rsidP="00FE4958">
      <w:pPr>
        <w:ind w:firstLine="397"/>
        <w:jc w:val="both"/>
      </w:pPr>
      <w:r>
        <w:t>П</w:t>
      </w:r>
      <w:r w:rsidR="00FE4958" w:rsidRPr="004E1D4A">
        <w:t>ротокол</w:t>
      </w:r>
      <w:r>
        <w:t xml:space="preserve"> </w:t>
      </w:r>
      <w:proofErr w:type="spellStart"/>
      <w:r>
        <w:t>Capture</w:t>
      </w:r>
      <w:proofErr w:type="spellEnd"/>
      <w:r>
        <w:t>-</w:t>
      </w:r>
      <w:r w:rsidRPr="00657247">
        <w:t>SELEX</w:t>
      </w:r>
      <w:r w:rsidR="00FE4958" w:rsidRPr="004E1D4A">
        <w:t xml:space="preserve"> использовался </w:t>
      </w:r>
      <w:r>
        <w:t xml:space="preserve">для отбора </w:t>
      </w:r>
      <w:proofErr w:type="spellStart"/>
      <w:r>
        <w:t>аптамеров</w:t>
      </w:r>
      <w:proofErr w:type="spellEnd"/>
      <w:r>
        <w:t xml:space="preserve"> </w:t>
      </w:r>
      <w:r w:rsidR="008A69A5">
        <w:t xml:space="preserve">к ГАМК </w:t>
      </w:r>
      <w:r>
        <w:t>в данной</w:t>
      </w:r>
      <w:r w:rsidR="00FE4958" w:rsidRPr="004E1D4A">
        <w:t xml:space="preserve"> работе. К настоящему моменту б</w:t>
      </w:r>
      <w:r>
        <w:t>ыло выполнено 12</w:t>
      </w:r>
      <w:r w:rsidR="00FE4958">
        <w:t xml:space="preserve"> раундов</w:t>
      </w:r>
      <w:r w:rsidR="00FE4958" w:rsidRPr="004E1D4A">
        <w:t xml:space="preserve"> </w:t>
      </w:r>
      <w:r w:rsidR="00FE4958" w:rsidRPr="004E1D4A">
        <w:rPr>
          <w:lang w:val="en-US"/>
        </w:rPr>
        <w:t>SELEX</w:t>
      </w:r>
      <w:r w:rsidR="00FE4958" w:rsidRPr="004E1D4A">
        <w:t>.</w:t>
      </w:r>
      <w:r w:rsidR="00C722DB">
        <w:t xml:space="preserve"> По мере увеличения номера цикла отбора наблюдалось увеличение количества ДНК, </w:t>
      </w:r>
      <w:proofErr w:type="spellStart"/>
      <w:r w:rsidR="00C722DB">
        <w:t>элюируемой</w:t>
      </w:r>
      <w:proofErr w:type="spellEnd"/>
      <w:r w:rsidR="00C722DB">
        <w:t xml:space="preserve"> с носителя раствором</w:t>
      </w:r>
      <w:r w:rsidR="008A69A5">
        <w:t xml:space="preserve"> мишени</w:t>
      </w:r>
      <w:r w:rsidR="00C722DB">
        <w:t xml:space="preserve"> в сравнении с отрицательным контролем (рис. 1). Таким образом, получена библиотека </w:t>
      </w:r>
      <w:proofErr w:type="spellStart"/>
      <w:r w:rsidR="00C722DB">
        <w:t>одноцепочечной</w:t>
      </w:r>
      <w:proofErr w:type="spellEnd"/>
      <w:r w:rsidR="00C722DB">
        <w:t xml:space="preserve"> ДНК, обогащённая специфичными к ГАМК </w:t>
      </w:r>
      <w:proofErr w:type="spellStart"/>
      <w:r w:rsidR="00C722DB">
        <w:t>олигонуклеотидами</w:t>
      </w:r>
      <w:proofErr w:type="spellEnd"/>
      <w:r w:rsidR="00C722DB">
        <w:t xml:space="preserve">. </w:t>
      </w:r>
      <w:r w:rsidR="00C722DB" w:rsidRPr="00094ECA">
        <w:t xml:space="preserve">Последовательности </w:t>
      </w:r>
      <w:proofErr w:type="spellStart"/>
      <w:r w:rsidR="00C722DB" w:rsidRPr="00094ECA">
        <w:t>олигонуклеотидов</w:t>
      </w:r>
      <w:proofErr w:type="spellEnd"/>
      <w:r w:rsidR="00C722DB" w:rsidRPr="00094ECA">
        <w:t xml:space="preserve"> будут установлены с помощью высокопроизводительного </w:t>
      </w:r>
      <w:proofErr w:type="spellStart"/>
      <w:r w:rsidR="00C722DB" w:rsidRPr="00094ECA">
        <w:t>секвенирования</w:t>
      </w:r>
      <w:proofErr w:type="spellEnd"/>
      <w:r w:rsidR="00C722DB" w:rsidRPr="00094ECA">
        <w:t xml:space="preserve">, а </w:t>
      </w:r>
      <w:r w:rsidR="0017522E">
        <w:t xml:space="preserve">эффективность их </w:t>
      </w:r>
      <w:r w:rsidR="00C722DB" w:rsidRPr="00094ECA">
        <w:t>связыва</w:t>
      </w:r>
      <w:r w:rsidR="0017522E">
        <w:t>ния</w:t>
      </w:r>
      <w:r w:rsidR="00C722DB" w:rsidRPr="00094ECA">
        <w:t xml:space="preserve"> с ГАМК будет изучена физико-химическими методами</w:t>
      </w:r>
      <w:r w:rsidR="00094ECA" w:rsidRPr="00094ECA">
        <w:t>.</w:t>
      </w:r>
    </w:p>
    <w:p w14:paraId="18A21588" w14:textId="07AD9AD7" w:rsidR="00306017" w:rsidRDefault="00647A6E" w:rsidP="00881E5C">
      <w:pPr>
        <w:ind w:firstLine="397"/>
        <w:jc w:val="center"/>
      </w:pPr>
      <w:r>
        <w:rPr>
          <w:noProof/>
        </w:rPr>
        <w:drawing>
          <wp:inline distT="0" distB="0" distL="0" distR="0" wp14:anchorId="365EE8AB" wp14:editId="7EFE8127">
            <wp:extent cx="5669280" cy="2278380"/>
            <wp:effectExtent l="0" t="0" r="762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09B942" w14:textId="4486E794" w:rsidR="007D63E8" w:rsidRDefault="00881E5C" w:rsidP="00881E5C">
      <w:pPr>
        <w:ind w:firstLine="397"/>
        <w:jc w:val="center"/>
      </w:pPr>
      <w:r>
        <w:t xml:space="preserve">Рис. 1. График относительного обогащения целевой библиотеки селективно </w:t>
      </w:r>
      <w:bookmarkStart w:id="0" w:name="_GoBack"/>
      <w:bookmarkEnd w:id="0"/>
      <w:r>
        <w:t>связывающимися с мишенью последовательностями ДНК.</w:t>
      </w:r>
    </w:p>
    <w:p w14:paraId="0F70A96D" w14:textId="6EAEEF3B" w:rsidR="00094ECA" w:rsidRDefault="00EB1F49" w:rsidP="00E03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81CA83D" w14:textId="27DD16DD" w:rsidR="00E03C49" w:rsidRPr="00E03C49" w:rsidRDefault="00E03C49" w:rsidP="00E03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E03C49">
        <w:rPr>
          <w:lang w:val="en-US"/>
        </w:rPr>
        <w:t xml:space="preserve">Lam S.Y., Lau H.L., </w:t>
      </w:r>
      <w:proofErr w:type="gramStart"/>
      <w:r w:rsidRPr="00E03C49">
        <w:rPr>
          <w:lang w:val="en-US"/>
        </w:rPr>
        <w:t>Kwok</w:t>
      </w:r>
      <w:proofErr w:type="gramEnd"/>
      <w:r w:rsidRPr="00E03C49">
        <w:rPr>
          <w:lang w:val="en-US"/>
        </w:rPr>
        <w:t xml:space="preserve"> C.K. Capture-SELEX: Selection Strategy, </w:t>
      </w:r>
      <w:proofErr w:type="spellStart"/>
      <w:r w:rsidRPr="00E03C49">
        <w:rPr>
          <w:lang w:val="en-US"/>
        </w:rPr>
        <w:t>Aptamer</w:t>
      </w:r>
      <w:proofErr w:type="spellEnd"/>
      <w:r w:rsidRPr="00E03C49">
        <w:rPr>
          <w:lang w:val="en-US"/>
        </w:rPr>
        <w:t xml:space="preserve"> Identification, and </w:t>
      </w:r>
      <w:proofErr w:type="spellStart"/>
      <w:r w:rsidRPr="00E03C49">
        <w:rPr>
          <w:lang w:val="en-US"/>
        </w:rPr>
        <w:t>Biosensing</w:t>
      </w:r>
      <w:proofErr w:type="spellEnd"/>
      <w:r w:rsidRPr="00E03C49">
        <w:rPr>
          <w:lang w:val="en-US"/>
        </w:rPr>
        <w:t xml:space="preserve"> Application // Biosensors. 2022. № 12. P. 1142.</w:t>
      </w:r>
    </w:p>
    <w:sectPr w:rsidR="00E03C49" w:rsidRPr="00E03C49" w:rsidSect="00D6299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C08"/>
    <w:multiLevelType w:val="hybridMultilevel"/>
    <w:tmpl w:val="8C68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1CDE"/>
    <w:rsid w:val="00063966"/>
    <w:rsid w:val="00086081"/>
    <w:rsid w:val="00094ECA"/>
    <w:rsid w:val="00101A1C"/>
    <w:rsid w:val="00106375"/>
    <w:rsid w:val="00113442"/>
    <w:rsid w:val="001152B5"/>
    <w:rsid w:val="00116478"/>
    <w:rsid w:val="00130241"/>
    <w:rsid w:val="0017522E"/>
    <w:rsid w:val="001E61C2"/>
    <w:rsid w:val="001F0493"/>
    <w:rsid w:val="002264EE"/>
    <w:rsid w:val="0023307C"/>
    <w:rsid w:val="00306017"/>
    <w:rsid w:val="0031361E"/>
    <w:rsid w:val="00391C38"/>
    <w:rsid w:val="003B76D6"/>
    <w:rsid w:val="004A26A3"/>
    <w:rsid w:val="004E1D4A"/>
    <w:rsid w:val="004F0EDF"/>
    <w:rsid w:val="00522BF1"/>
    <w:rsid w:val="00590166"/>
    <w:rsid w:val="00647A6E"/>
    <w:rsid w:val="00657247"/>
    <w:rsid w:val="006F7A19"/>
    <w:rsid w:val="00775389"/>
    <w:rsid w:val="00797838"/>
    <w:rsid w:val="007A5306"/>
    <w:rsid w:val="007C36D8"/>
    <w:rsid w:val="007D63E8"/>
    <w:rsid w:val="007F2744"/>
    <w:rsid w:val="007F3A23"/>
    <w:rsid w:val="00881E5C"/>
    <w:rsid w:val="008931BE"/>
    <w:rsid w:val="008A69A5"/>
    <w:rsid w:val="00921D45"/>
    <w:rsid w:val="009810AE"/>
    <w:rsid w:val="009A66DB"/>
    <w:rsid w:val="009B2F80"/>
    <w:rsid w:val="009B3300"/>
    <w:rsid w:val="009B6C86"/>
    <w:rsid w:val="009F3380"/>
    <w:rsid w:val="00A02163"/>
    <w:rsid w:val="00A314FE"/>
    <w:rsid w:val="00B71985"/>
    <w:rsid w:val="00BF36F8"/>
    <w:rsid w:val="00BF4622"/>
    <w:rsid w:val="00C722DB"/>
    <w:rsid w:val="00CB22DA"/>
    <w:rsid w:val="00CD00B1"/>
    <w:rsid w:val="00D22306"/>
    <w:rsid w:val="00D42542"/>
    <w:rsid w:val="00D62997"/>
    <w:rsid w:val="00D8121C"/>
    <w:rsid w:val="00D9680E"/>
    <w:rsid w:val="00E03C49"/>
    <w:rsid w:val="00E1709C"/>
    <w:rsid w:val="00E22189"/>
    <w:rsid w:val="00E74069"/>
    <w:rsid w:val="00EB1F49"/>
    <w:rsid w:val="00F865B3"/>
    <w:rsid w:val="00FB1509"/>
    <w:rsid w:val="00FE4958"/>
    <w:rsid w:val="00FE55D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ts-math">
    <w:name w:val="ts-math"/>
    <w:basedOn w:val="a0"/>
    <w:rsid w:val="00D6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emi\Downloads\selex%20gab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654653462434842"/>
          <c:y val="5.6249177046849071E-2"/>
          <c:w val="0.59293323628664063"/>
          <c:h val="0.75727512023424814"/>
        </c:manualLayout>
      </c:layout>
      <c:barChart>
        <c:barDir val="col"/>
        <c:grouping val="clustered"/>
        <c:varyColors val="0"/>
        <c:ser>
          <c:idx val="0"/>
          <c:order val="0"/>
          <c:tx>
            <c:v>500 мкМ ГАМК</c:v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cat>
            <c:numRef>
              <c:f>'[selex gaba.xlsx]колибровка Су3'!$J$35:$J$45</c:f>
              <c:numCache>
                <c:formatCode>General</c:formatCode>
                <c:ptCount val="11"/>
                <c:pt idx="0">
                  <c:v>2</c:v>
                </c:pt>
                <c:pt idx="2">
                  <c:v>4</c:v>
                </c:pt>
                <c:pt idx="4">
                  <c:v>6</c:v>
                </c:pt>
                <c:pt idx="6">
                  <c:v>8</c:v>
                </c:pt>
                <c:pt idx="8">
                  <c:v>10</c:v>
                </c:pt>
                <c:pt idx="10">
                  <c:v>12</c:v>
                </c:pt>
              </c:numCache>
            </c:numRef>
          </c:cat>
          <c:val>
            <c:numRef>
              <c:f>'[selex gaba.xlsx]колибровка Су3'!$T$35:$T$45</c:f>
              <c:numCache>
                <c:formatCode>General</c:formatCode>
                <c:ptCount val="11"/>
                <c:pt idx="0">
                  <c:v>105.18834399431414</c:v>
                </c:pt>
                <c:pt idx="2">
                  <c:v>97.03504043126685</c:v>
                </c:pt>
                <c:pt idx="4">
                  <c:v>109.38845822566752</c:v>
                </c:pt>
                <c:pt idx="6">
                  <c:v>112.94219154443485</c:v>
                </c:pt>
                <c:pt idx="8">
                  <c:v>124.65753424657535</c:v>
                </c:pt>
                <c:pt idx="10">
                  <c:v>125.28409090909092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26-4496-BFF8-F3528FDA5F3B}"/>
            </c:ext>
          </c:extLst>
        </c:ser>
        <c:ser>
          <c:idx val="1"/>
          <c:order val="1"/>
          <c:tx>
            <c:v>0 мкМ ГАМК</c:v>
          </c:tx>
          <c:spPr>
            <a:solidFill>
              <a:schemeClr val="bg1">
                <a:lumMod val="65000"/>
              </a:schemeClr>
            </a:solidFill>
          </c:spPr>
          <c:invertIfNegative val="0"/>
          <c:val>
            <c:numRef>
              <c:f>'[selex gaba.xlsx]колибровка Су3'!$U$35:$U$46</c:f>
              <c:numCache>
                <c:formatCode>General</c:formatCode>
                <c:ptCount val="12"/>
                <c:pt idx="0">
                  <c:v>100</c:v>
                </c:pt>
                <c:pt idx="2">
                  <c:v>100</c:v>
                </c:pt>
                <c:pt idx="4">
                  <c:v>100</c:v>
                </c:pt>
                <c:pt idx="6">
                  <c:v>100</c:v>
                </c:pt>
                <c:pt idx="8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26-4496-BFF8-F3528FDA5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140393088"/>
        <c:axId val="140411264"/>
      </c:barChart>
      <c:catAx>
        <c:axId val="1403930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aseline="0"/>
                  <a:t>Номер цикла отбора</a:t>
                </a:r>
              </a:p>
            </c:rich>
          </c:tx>
          <c:layout>
            <c:manualLayout>
              <c:xMode val="edge"/>
              <c:yMode val="edge"/>
              <c:x val="0.34351441363947161"/>
              <c:y val="0.8937288775357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0411264"/>
        <c:crosses val="autoZero"/>
        <c:auto val="1"/>
        <c:lblAlgn val="ctr"/>
        <c:lblOffset val="100"/>
        <c:noMultiLvlLbl val="0"/>
      </c:catAx>
      <c:valAx>
        <c:axId val="140411264"/>
        <c:scaling>
          <c:orientation val="minMax"/>
          <c:max val="15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600" baseline="0"/>
                </a:pPr>
                <a:r>
                  <a:rPr lang="ru-RU" sz="1000" baseline="0"/>
                  <a:t>Относительное количество элюированной ДНК, %</a:t>
                </a:r>
              </a:p>
            </c:rich>
          </c:tx>
          <c:layout>
            <c:manualLayout>
              <c:xMode val="edge"/>
              <c:yMode val="edge"/>
              <c:x val="5.6022408963585436E-2"/>
              <c:y val="6.94546124878202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039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007778765557536"/>
          <c:y val="0.3431438127090301"/>
          <c:w val="0.18628287358119969"/>
          <c:h val="0.2472698860619301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C00262-1191-4C4B-9435-63762C9B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</dc:creator>
  <cp:lastModifiedBy>eremi</cp:lastModifiedBy>
  <cp:revision>4</cp:revision>
  <dcterms:created xsi:type="dcterms:W3CDTF">2023-03-15T18:50:00Z</dcterms:created>
  <dcterms:modified xsi:type="dcterms:W3CDTF">2023-03-16T17:54:00Z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