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Сорбционные свойства текстильных материалов, модифицированных сополимерами на основе </w:t>
      </w:r>
      <w:r>
        <w:rPr>
          <w:b/>
          <w:color w:val="000000"/>
        </w:rPr>
        <w:t>глицидилметакрилата</w:t>
      </w:r>
      <w:r>
        <w:rPr>
          <w:b/>
          <w:color w:val="000000"/>
        </w:rPr>
        <w:t xml:space="preserve"> и </w:t>
      </w:r>
      <w:r>
        <w:rPr>
          <w:b/>
          <w:color w:val="000000"/>
        </w:rPr>
        <w:t>лаурилметакрилата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b/>
          <w:i/>
          <w:color w:val="000000"/>
        </w:rPr>
        <w:t>Цибанёва</w:t>
      </w:r>
      <w:r>
        <w:rPr>
          <w:b/>
          <w:i/>
          <w:color w:val="000000"/>
        </w:rPr>
        <w:t xml:space="preserve"> Е.А.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i/>
          <w:color w:val="000000"/>
        </w:rPr>
        <w:t xml:space="preserve">Волгоградский </w:t>
      </w:r>
      <w:r>
        <w:rPr>
          <w:lang w:val="ru-RU"/>
          <w:i/>
          <w:color w:val="000000"/>
          <w:rtl w:val="off"/>
        </w:rPr>
        <w:t>г</w:t>
      </w:r>
      <w:r>
        <w:rPr>
          <w:i/>
          <w:color w:val="000000"/>
        </w:rPr>
        <w:t xml:space="preserve">осударственный </w:t>
      </w:r>
      <w:r>
        <w:rPr>
          <w:lang w:val="ru-RU"/>
          <w:i/>
          <w:color w:val="000000"/>
          <w:rtl w:val="off"/>
        </w:rPr>
        <w:t>т</w:t>
      </w:r>
      <w:r>
        <w:rPr>
          <w:i/>
          <w:color w:val="000000"/>
        </w:rPr>
        <w:t xml:space="preserve">ехнический </w:t>
      </w:r>
      <w:r>
        <w:rPr>
          <w:lang w:val="ru-RU"/>
          <w:i/>
          <w:color w:val="000000"/>
          <w:rtl w:val="off"/>
        </w:rPr>
        <w:t>у</w:t>
      </w:r>
      <w:r>
        <w:rPr>
          <w:i/>
          <w:color w:val="000000"/>
        </w:rPr>
        <w:t xml:space="preserve">ниверситет, </w:t>
      </w:r>
      <w:r>
        <w:rPr>
          <w:lang w:val="ru-RU"/>
          <w:i/>
          <w:color w:val="000000"/>
          <w:rtl w:val="off"/>
        </w:rPr>
        <w:t xml:space="preserve">химико-технологический факультет,  </w:t>
      </w:r>
      <w:r>
        <w:rPr>
          <w:i/>
          <w:color w:val="000000"/>
        </w:rPr>
        <w:t>Волгоград, Россия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i/>
          <w:color w:val="000000"/>
        </w:rPr>
        <w:t>E-</w:t>
      </w:r>
      <w:r>
        <w:rPr>
          <w:i/>
          <w:color w:val="000000"/>
        </w:rPr>
        <w:t>mail</w:t>
      </w:r>
      <w:r>
        <w:rPr>
          <w:i/>
          <w:color w:val="000000"/>
        </w:rPr>
        <w:t xml:space="preserve">: </w:t>
      </w:r>
      <w:r>
        <w:rPr>
          <w:lang w:val="en-US"/>
          <w:i/>
          <w:color w:val="000000"/>
          <w:u w:val="single" w:color="auto"/>
        </w:rPr>
        <w:t>cibanevaekaterina</w:t>
      </w:r>
      <w:r>
        <w:rPr>
          <w:i/>
          <w:color w:val="000000"/>
          <w:u w:val="single" w:color="auto"/>
        </w:rPr>
        <w:t>@</w:t>
      </w:r>
      <w:r>
        <w:rPr>
          <w:lang w:val="en-US"/>
          <w:i/>
          <w:color w:val="000000"/>
          <w:u w:val="single" w:color="auto"/>
        </w:rPr>
        <w:t>gmail</w:t>
      </w:r>
      <w:r>
        <w:rPr>
          <w:i/>
          <w:color w:val="000000"/>
          <w:u w:val="single" w:color="auto"/>
        </w:rPr>
        <w:t>.</w:t>
      </w:r>
      <w:r>
        <w:rPr>
          <w:lang w:val="en-US"/>
          <w:i/>
          <w:color w:val="000000"/>
          <w:u w:val="single" w:color="auto"/>
        </w:rPr>
        <w:t>com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color w:val="000000"/>
        </w:rPr>
        <w:t>В настоящее время огромное количество промышленных предприятий, использующих различные нефтепродукты, сливают тонны неочищенных или недостаточно очищенных промышленных сточных вод в озера, реки и моря. Подобные сбросы наносят непоправимый ущерб экологии. Поэтому данная проблема с каждым днем приобретает все большую актуальность.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Нами ранее было показано </w:t>
      </w:r>
      <w:r>
        <w:rPr>
          <w:color w:val="000000"/>
        </w:rPr>
        <w:t>[</w:t>
      </w:r>
      <w:r>
        <w:rPr>
          <w:lang w:val="ru-RU"/>
          <w:color w:val="000000"/>
          <w:rtl w:val="off"/>
        </w:rPr>
        <w:t>1</w:t>
      </w:r>
      <w:r>
        <w:rPr>
          <w:color w:val="000000"/>
        </w:rPr>
        <w:t>]</w:t>
      </w:r>
      <w:r>
        <w:rPr>
          <w:color w:val="000000"/>
        </w:rPr>
        <w:t xml:space="preserve">, </w:t>
      </w:r>
      <w:r>
        <w:rPr>
          <w:color w:val="000000"/>
        </w:rPr>
        <w:t>что использование покрытий на основе</w:t>
      </w:r>
      <w:r>
        <w:rPr>
          <w:color w:val="000000"/>
        </w:rPr>
        <w:t xml:space="preserve"> </w:t>
      </w:r>
      <w:r>
        <w:rPr>
          <w:color w:val="000000"/>
        </w:rPr>
        <w:t>глицидилметакрилата</w:t>
      </w:r>
      <w:r>
        <w:rPr>
          <w:color w:val="000000"/>
        </w:rPr>
        <w:t xml:space="preserve"> (ГМА) и </w:t>
      </w:r>
      <w:r>
        <w:rPr>
          <w:color w:val="000000"/>
        </w:rPr>
        <w:t>лаурилметакрилата</w:t>
      </w:r>
      <w:r>
        <w:rPr>
          <w:color w:val="000000"/>
        </w:rPr>
        <w:t xml:space="preserve"> (ЛМА)</w:t>
      </w:r>
      <w:r>
        <w:t xml:space="preserve"> </w:t>
      </w:r>
      <w:r>
        <w:t xml:space="preserve">на поверхности хлопчатобумажных тканей дают хорошие результаты по разделению </w:t>
      </w:r>
      <w:r>
        <w:t xml:space="preserve">водомасляных </w:t>
      </w:r>
      <w:r>
        <w:t>эмульсий.</w:t>
      </w:r>
      <w:r>
        <w:t xml:space="preserve"> Данные сополимеры имеют в своем строении эпоксидные группы, которые способны взаимодействовать с гидроксильными группами на поверхности ХБТ и образовывать ковалентные связи, что позволяет закрепить сополимер на поверхности. Длинные алкильные группы в составе сополимеров придают поверхности гидрофобные свойства и, одновременно, олеофильные, то есть сродство к маслу</w:t>
      </w:r>
      <w:r>
        <w:rPr>
          <w:color w:val="000000"/>
        </w:rPr>
        <w:t>.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lang/>
          <w:rtl w:val="off"/>
        </w:rPr>
      </w:pPr>
      <w:r>
        <w:t xml:space="preserve">В данной работе </w:t>
      </w:r>
      <w:r>
        <w:t>было предложено оценить сорбционную</w:t>
      </w:r>
      <w:r>
        <w:t xml:space="preserve"> емкость полученных фильтровальных материалов на основе</w:t>
      </w:r>
      <w:r>
        <w:t xml:space="preserve"> ХБТ</w:t>
      </w:r>
      <w:r>
        <w:t xml:space="preserve"> полотняного</w:t>
      </w:r>
      <w:r>
        <w:t xml:space="preserve"> и </w:t>
      </w:r>
      <w:r>
        <w:t xml:space="preserve">вафельного </w:t>
      </w:r>
      <w:r>
        <w:t>переплетений. Ц</w:t>
      </w:r>
      <w:r>
        <w:t>елью данной работы является определе</w:t>
      </w:r>
      <w:r>
        <w:t xml:space="preserve">ние сорбционной емкости покрытий на основе ГМА и </w:t>
      </w:r>
      <w:r>
        <w:t>ЛМА</w:t>
      </w:r>
      <w:r>
        <w:t xml:space="preserve"> на поверхности текстильных материалов</w:t>
      </w:r>
      <w:r>
        <w:t xml:space="preserve">. 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</w:pPr>
    </w:p>
    <w:p>
      <w:pPr>
        <w:ind w:firstLine="397"/>
        <w:tabs>
          <w:tab w:val="left" w:pos="3510"/>
        </w:tabs>
      </w:pPr>
      <w:r>
        <w:t>Таблица 1</w:t>
      </w:r>
      <w:r>
        <w:t>.</w:t>
      </w:r>
      <w:r>
        <w:t xml:space="preserve"> Сорбционная </w:t>
      </w:r>
      <w:r>
        <w:t>е</w:t>
      </w:r>
      <w:r>
        <w:t xml:space="preserve">мкость </w:t>
      </w:r>
      <w:r>
        <w:t xml:space="preserve">исходных и модифицированных сополимерами ГМА и </w:t>
      </w:r>
      <w:r>
        <w:t>ЛМА</w:t>
      </w:r>
      <w:r>
        <w:t xml:space="preserve"> </w:t>
      </w:r>
      <w:r>
        <w:t>текстильных материалов</w:t>
      </w:r>
    </w:p>
    <w:tbl>
      <w:tblPr>
        <w:tblStyle w:val="aa"/>
        <w:tblW w:w="0" w:type="auto"/>
        <w:tblInd w:w="13" w:type="dxa"/>
        <w:tblLook w:val="04A0" w:firstRow="1" w:lastRow="0" w:firstColumn="1" w:lastColumn="0" w:noHBand="0" w:noVBand="1"/>
      </w:tblPr>
      <w:tblGrid>
        <w:gridCol w:w="2505"/>
        <w:gridCol w:w="2110"/>
        <w:gridCol w:w="1540"/>
        <w:gridCol w:w="1539"/>
        <w:gridCol w:w="1542"/>
      </w:tblGrid>
      <w:tr>
        <w:trPr>
          <w:trHeight w:val="237" w:hRule="atLeast"/>
        </w:trPr>
        <w:tc>
          <w:tcPr>
            <w:tcW w:w="2505" w:type="dxa"/>
            <w:vMerge w:val="restart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Плетение ХБТ</w:t>
            </w:r>
          </w:p>
        </w:tc>
        <w:tc>
          <w:tcPr>
            <w:tcW w:w="6731" w:type="dxa"/>
            <w:gridSpan w:val="4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емкость, г/г</w:t>
            </w:r>
          </w:p>
        </w:tc>
      </w:tr>
      <w:tr>
        <w:trPr>
          <w:trHeight w:val="328" w:hRule="atLeast"/>
        </w:trPr>
        <w:tc>
          <w:tcPr>
            <w:tcW w:w="2505" w:type="dxa"/>
            <w:vMerge w:val="continue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</w:p>
        </w:tc>
        <w:tc>
          <w:tcPr>
            <w:tcW w:w="3650" w:type="dxa"/>
            <w:gridSpan w:val="2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Синтетическое моторное масло</w:t>
            </w:r>
          </w:p>
        </w:tc>
        <w:tc>
          <w:tcPr>
            <w:tcW w:w="3081" w:type="dxa"/>
            <w:gridSpan w:val="2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Дистиллированная вода</w:t>
            </w:r>
          </w:p>
        </w:tc>
      </w:tr>
      <w:tr>
        <w:trPr>
          <w:trHeight w:val="134" w:hRule="atLeast"/>
        </w:trPr>
        <w:tc>
          <w:tcPr>
            <w:tcW w:w="2505" w:type="dxa"/>
            <w:vMerge w:val="continue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</w:p>
        </w:tc>
        <w:tc>
          <w:tcPr>
            <w:tcW w:w="211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154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539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1542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ч</w:t>
            </w:r>
          </w:p>
        </w:tc>
      </w:tr>
      <w:tr>
        <w:trPr>
          <w:trHeight w:val="237" w:hRule="atLeast"/>
        </w:trPr>
        <w:tc>
          <w:tcPr>
            <w:tcW w:w="9236" w:type="dxa"/>
            <w:gridSpan w:val="5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модификатора</w:t>
            </w:r>
          </w:p>
        </w:tc>
      </w:tr>
      <w:tr>
        <w:trPr>
          <w:trHeight w:val="237" w:hRule="atLeast"/>
        </w:trPr>
        <w:tc>
          <w:tcPr>
            <w:tcW w:w="2505" w:type="dxa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Гладкое </w:t>
            </w:r>
          </w:p>
        </w:tc>
        <w:tc>
          <w:tcPr>
            <w:tcW w:w="211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3,32</w:t>
            </w:r>
          </w:p>
        </w:tc>
        <w:tc>
          <w:tcPr>
            <w:tcW w:w="154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3,32</w:t>
            </w:r>
          </w:p>
        </w:tc>
        <w:tc>
          <w:tcPr>
            <w:tcW w:w="1539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3,36</w:t>
            </w:r>
          </w:p>
        </w:tc>
        <w:tc>
          <w:tcPr>
            <w:tcW w:w="1542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>
        <w:trPr>
          <w:trHeight w:val="223" w:hRule="atLeast"/>
        </w:trPr>
        <w:tc>
          <w:tcPr>
            <w:tcW w:w="2505" w:type="dxa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Вафельное</w:t>
            </w:r>
          </w:p>
        </w:tc>
        <w:tc>
          <w:tcPr>
            <w:tcW w:w="211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  <w:tc>
          <w:tcPr>
            <w:tcW w:w="154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5,92</w:t>
            </w:r>
          </w:p>
        </w:tc>
        <w:tc>
          <w:tcPr>
            <w:tcW w:w="1539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4,31</w:t>
            </w:r>
          </w:p>
        </w:tc>
        <w:tc>
          <w:tcPr>
            <w:tcW w:w="1542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</w:tr>
      <w:tr>
        <w:trPr>
          <w:trHeight w:val="237" w:hRule="atLeast"/>
        </w:trPr>
        <w:tc>
          <w:tcPr>
            <w:tcW w:w="9236" w:type="dxa"/>
            <w:gridSpan w:val="5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Поли(ГМА-со-ЛМА)</w:t>
            </w:r>
          </w:p>
        </w:tc>
      </w:tr>
      <w:tr>
        <w:trPr>
          <w:trHeight w:val="223" w:hRule="atLeast"/>
        </w:trPr>
        <w:tc>
          <w:tcPr>
            <w:tcW w:w="2505" w:type="dxa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Гладкое</w:t>
            </w:r>
          </w:p>
        </w:tc>
        <w:tc>
          <w:tcPr>
            <w:tcW w:w="211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154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3,88</w:t>
            </w:r>
          </w:p>
        </w:tc>
        <w:tc>
          <w:tcPr>
            <w:tcW w:w="1539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  <w:tc>
          <w:tcPr>
            <w:tcW w:w="1542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>
        <w:trPr>
          <w:trHeight w:val="223" w:hRule="atLeast"/>
        </w:trPr>
        <w:tc>
          <w:tcPr>
            <w:tcW w:w="2505" w:type="dxa"/>
          </w:tcPr>
          <w:p>
            <w:pPr>
              <w:jc w:val="both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Вафельное</w:t>
            </w:r>
          </w:p>
        </w:tc>
        <w:tc>
          <w:tcPr>
            <w:tcW w:w="211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6,21</w:t>
            </w:r>
          </w:p>
        </w:tc>
        <w:tc>
          <w:tcPr>
            <w:tcW w:w="1540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6,29</w:t>
            </w:r>
          </w:p>
        </w:tc>
        <w:tc>
          <w:tcPr>
            <w:tcW w:w="1539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542" w:type="dxa"/>
          </w:tcPr>
          <w:p>
            <w:pPr>
              <w:jc w:val="center"/>
              <w:tabs>
                <w:tab w:val="left" w:pos="35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</w:tbl>
    <w:p>
      <w:pPr>
        <w:ind w:firstLine="397"/>
        <w:jc w:val="both"/>
        <w:tabs>
          <w:tab w:val="left" w:pos="3510"/>
        </w:tabs>
        <w:rPr>
          <w:lang/>
          <w:rtl w:val="off"/>
        </w:rPr>
      </w:pPr>
    </w:p>
    <w:p>
      <w:pPr>
        <w:ind w:firstLine="397"/>
        <w:jc w:val="both"/>
        <w:tabs>
          <w:tab w:val="left" w:pos="3510"/>
        </w:tabs>
        <w:rPr>
          <w:i/>
          <w:iCs/>
        </w:rPr>
      </w:pPr>
      <w:r>
        <w:t xml:space="preserve">В результате эксперимента было выявлено, что </w:t>
      </w:r>
      <w:r>
        <w:t>благодаря олеофильным свойствам</w:t>
      </w:r>
      <w:r>
        <w:t xml:space="preserve"> </w:t>
      </w:r>
      <w:r>
        <w:t>модифицированные образцы</w:t>
      </w:r>
      <w:r>
        <w:t xml:space="preserve"> сохраняют высокую сорбционную емкость масла</w:t>
      </w:r>
      <w:r>
        <w:t xml:space="preserve">. При этом, модификация поверхности волокон ткани сополимером </w:t>
      </w:r>
      <w:r>
        <w:rPr>
          <w:sz w:val="22"/>
          <w:szCs w:val="22"/>
        </w:rPr>
        <w:t>п</w:t>
      </w:r>
      <w:r>
        <w:rPr>
          <w:sz w:val="22"/>
          <w:szCs w:val="22"/>
        </w:rPr>
        <w:t>оли(ГМА-со-ЛМА)</w:t>
      </w:r>
      <w:r>
        <w:rPr>
          <w:sz w:val="22"/>
          <w:szCs w:val="22"/>
        </w:rPr>
        <w:t xml:space="preserve"> позволяет достигнуть </w:t>
      </w:r>
      <w:r>
        <w:rPr>
          <w:sz w:val="22"/>
          <w:szCs w:val="22"/>
        </w:rPr>
        <w:t>супергидрофобных</w:t>
      </w:r>
      <w:r>
        <w:rPr>
          <w:sz w:val="22"/>
          <w:szCs w:val="22"/>
        </w:rPr>
        <w:t xml:space="preserve"> свойств и</w:t>
      </w:r>
      <w:r>
        <w:rPr>
          <w:sz w:val="22"/>
          <w:szCs w:val="22"/>
        </w:rPr>
        <w:t xml:space="preserve"> уменьшение показателя </w:t>
      </w:r>
      <w:r>
        <w:rPr>
          <w:sz w:val="22"/>
          <w:szCs w:val="22"/>
        </w:rPr>
        <w:t>водопогло</w:t>
      </w:r>
      <w:r>
        <w:rPr>
          <w:sz w:val="22"/>
          <w:szCs w:val="22"/>
        </w:rPr>
        <w:t>щ</w:t>
      </w:r>
      <w:r>
        <w:rPr>
          <w:sz w:val="22"/>
          <w:szCs w:val="22"/>
        </w:rPr>
        <w:t>ения</w:t>
      </w:r>
      <w:r>
        <w:rPr>
          <w:sz w:val="22"/>
          <w:szCs w:val="22"/>
        </w:rPr>
        <w:t xml:space="preserve"> более чем в 6 раз. </w:t>
      </w:r>
      <w:r>
        <w:t>Таким образом</w:t>
      </w:r>
      <w:r>
        <w:t>,</w:t>
      </w:r>
      <w:r>
        <w:t xml:space="preserve"> данные материалы могут быть использованы в качестве сорбентов при очистк</w:t>
      </w:r>
      <w:r>
        <w:t>е вод от нефтепродуктов</w:t>
      </w:r>
      <w:r>
        <w:t>.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i/>
          <w:iCs/>
          <w:color w:val="000000"/>
        </w:rPr>
      </w:pPr>
      <w:r>
        <w:rPr>
          <w:i/>
          <w:iCs/>
        </w:rPr>
        <w:t>Работа выполнена при финансировании Министерства науки и высшего образования Российской Федерации в рамках государственного задания (шифр проекта FZUS- 2021-0013)</w:t>
      </w:r>
      <w:r>
        <w:rPr>
          <w:i/>
          <w:iCs/>
          <w:color w:val="000000"/>
        </w:rPr>
        <w:t>.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lang w:val="ru-RU"/>
          <w:color w:val="000000"/>
          <w:rtl w:val="off"/>
        </w:rPr>
        <w:t>1</w:t>
      </w:r>
      <w:r>
        <w:rPr>
          <w:color w:val="000000"/>
        </w:rPr>
        <w:t xml:space="preserve">. </w:t>
      </w:r>
      <w:r>
        <w:t xml:space="preserve">Покрытие на основе сополимера </w:t>
      </w:r>
      <w:r>
        <w:t>глицидилметакрилата</w:t>
      </w:r>
      <w:r>
        <w:t xml:space="preserve"> и </w:t>
      </w:r>
      <w:r>
        <w:t>лаурилметакрилата</w:t>
      </w:r>
      <w:r>
        <w:t xml:space="preserve"> на поверхности хлопчатобумажной ткани для разделения водомасляных эмульсий / Е.А. </w:t>
      </w:r>
      <w:r>
        <w:t>Цибанева</w:t>
      </w:r>
      <w:r>
        <w:t>, С.А. Носко</w:t>
      </w:r>
      <w:r>
        <w:t xml:space="preserve">в и </w:t>
      </w:r>
      <w:r>
        <w:t>[</w:t>
      </w:r>
      <w:r>
        <w:t>и др.</w:t>
      </w:r>
      <w:r>
        <w:t xml:space="preserve">] // Известия </w:t>
      </w:r>
      <w:r>
        <w:t>ВолгГТУ.</w:t>
      </w:r>
      <w:r>
        <w:rPr>
          <w:lang w:val="ru-RU"/>
          <w:rtl w:val="off"/>
        </w:rPr>
        <w:t xml:space="preserve"> Сер. Химия и технология элементоорганических мономеров и полимерных материалов. - Волгоград,</w:t>
      </w:r>
      <w:r>
        <w:t xml:space="preserve"> 2022. - № 12 (271). - C. 112-118.</w:t>
      </w:r>
    </w:p>
    <w:sectPr>
      <w:pgSz w:w="11906" w:h="16838"/>
      <w:pgMar w:top="1134" w:right="1361" w:bottom="1134" w:left="1361" w:header="709" w:footer="709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web"/>
  <w:zoom w:percent="22"/>
  <w:removePersonalInformation/>
  <w:bordersDontSurroundHeader/>
  <w:bordersDontSurroundFooter/>
  <w:hideGrammaticalErrors/>
  <w:proofState w:spelling="clean" w:grammar="clean"/>
  <w:revisionView w:inkAnnotations="false" w:insDel="false" w:markup="false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Calibri" w:eastAsia="Calibri" w:hAnsi="Calibri" w:cs="Calibri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129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40" w:before="240"/>
    </w:pPr>
    <w:rPr>
      <w:b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40" w:before="20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120" w:before="480"/>
    </w:pPr>
    <w:rPr>
      <w:b/>
      <w:sz w:val="72"/>
      <w:szCs w:val="7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uiPriority w:val="34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uiPriority w:val="34"/>
    <w:basedOn w:val="a0"/>
    <w:link w:val="a5"/>
  </w:style>
  <w:style w:type="character" w:styleId="a7">
    <w:name w:val="Placeholder Text"/>
    <w:uiPriority w:val="99"/>
    <w:basedOn w:val="a0"/>
    <w:semiHidden/>
    <w:rPr>
      <w:color w:val="808080"/>
    </w:rPr>
  </w:style>
  <w:style w:type="paragraph" w:styleId="a8">
    <w:name w:val="No Spacing"/>
    <w:uiPriority w:val="1"/>
    <w:qFormat/>
    <w:rPr>
      <w:lang w:val="en-US" w:eastAsia="en-US" w:bidi="en-US"/>
      <w:rFonts w:cs="Times New Roman"/>
      <w:sz w:val="22"/>
      <w:szCs w:val="22"/>
    </w:rPr>
  </w:style>
  <w:style w:type="character" w:styleId="a9">
    <w:name w:val="Hyperlink"/>
    <w:uiPriority w:val="99"/>
    <w:basedOn w:val="a0"/>
    <w:unhideWhenUsed/>
    <w:rPr>
      <w:color w:val="0000FF"/>
      <w:u w:val="single" w:color="auto"/>
    </w:rPr>
  </w:style>
  <w:style w:type="character" w:customStyle="1" w:styleId="10">
    <w:name w:val="Неразрешенное упоминание1"/>
    <w:uiPriority w:val="99"/>
    <w:basedOn w:val="a0"/>
    <w:semiHidden/>
    <w:unhideWhenUsed/>
    <w:rPr>
      <w:color w:val="605E5C"/>
      <w:shd w:val="clear" w:color="auto" w:fill="E1DFDD"/>
    </w:rPr>
  </w:style>
  <w:style w:type="table" w:styleId="aa">
    <w:name w:val="Table Grid"/>
    <w:uiPriority w:val="5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basedOn w:val="a0"/>
    <w:semiHidden/>
    <w:unhideWhenUsed/>
    <w:rPr>
      <w:sz w:val="16"/>
      <w:szCs w:val="16"/>
    </w:rPr>
  </w:style>
  <w:style w:type="paragraph" w:styleId="ac">
    <w:name w:val="annotation text"/>
    <w:uiPriority w:val="99"/>
    <w:basedOn w:val="a"/>
    <w:link w:val="ad"/>
    <w:semiHidden/>
    <w:unhideWhenUsed/>
    <w:rPr>
      <w:sz w:val="20"/>
      <w:szCs w:val="20"/>
    </w:rPr>
  </w:style>
  <w:style w:type="character" w:customStyle="1" w:styleId="ad">
    <w:name w:val="Текст примечания Знак"/>
    <w:uiPriority w:val="99"/>
    <w:basedOn w:val="a0"/>
    <w:link w:val="ac"/>
    <w:semiHidden/>
    <w:rPr>
      <w:rFonts w:ascii="Times New Roman" w:eastAsia="Times New Roman" w:hAnsi="Times New Roman" w:cs="Times New Roman"/>
    </w:rPr>
  </w:style>
  <w:style w:type="paragraph" w:styleId="ae">
    <w:name w:val="annotation subject"/>
    <w:uiPriority w:val="99"/>
    <w:basedOn w:val="ac"/>
    <w:next w:val="ac"/>
    <w:link w:val="af"/>
    <w:semiHidden/>
    <w:unhideWhenUsed/>
    <w:rPr>
      <w:b/>
      <w:bCs/>
    </w:rPr>
  </w:style>
  <w:style w:type="character" w:customStyle="1" w:styleId="af">
    <w:name w:val="Тема примечания Знак"/>
    <w:uiPriority w:val="99"/>
    <w:basedOn w:val="ad"/>
    <w:link w:val="ae"/>
    <w:semiHidden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uiPriority w:val="99"/>
    <w:basedOn w:val="a"/>
    <w:link w:val="af1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uiPriority w:val="99"/>
    <w:basedOn w:val="a0"/>
    <w:link w:val="af0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2023-03-02T17:09:00Z</dcterms:created>
  <dcterms:modified xsi:type="dcterms:W3CDTF">2023-03-02T17:20:45Z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