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D0" w:rsidRPr="00926F6B" w:rsidRDefault="00F13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Влияние силы тока и концентрации электролита на процесс гальваностатического окисления графита в азотной кислоте</w:t>
      </w:r>
    </w:p>
    <w:bookmarkEnd w:id="0"/>
    <w:p w:rsidR="00747BD0" w:rsidRDefault="00934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Камаев А.О</w:t>
      </w:r>
      <w:r w:rsidR="00526E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747BD0" w:rsidRDefault="00006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5C40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</w:p>
    <w:p w:rsidR="00747BD0" w:rsidRDefault="00F52D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</w:t>
      </w:r>
      <w:r w:rsidR="00006D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:rsidR="00747BD0" w:rsidRPr="005C40E3" w:rsidRDefault="00006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05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5C40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C205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5C40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="00856C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kamaevalexey</w:t>
      </w:r>
      <w:r w:rsidR="00856CB5" w:rsidRPr="00856C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@</w:t>
      </w:r>
      <w:r w:rsidR="00856C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gmail</w:t>
      </w:r>
      <w:r w:rsidR="00856CB5" w:rsidRPr="00856C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856C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com</w:t>
      </w:r>
    </w:p>
    <w:p w:rsidR="001719EA" w:rsidRDefault="0034476A" w:rsidP="007E3A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Оксид графита (ОГ) представляет собой слоистое соединение, состоящее из графеновых слоев, к которым присоединены различные функциональные группы: гидроксильные, карбоксильные и др. </w:t>
      </w:r>
      <w:r w:rsid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Уникальная структура ГО </w:t>
      </w:r>
      <w:r w:rsidR="00DC01C4" w:rsidRP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обуславливает его гидрофильное поведение, что позволяет использовать его в различных областях, таких как производство топливных </w:t>
      </w:r>
      <w:r w:rsid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 [1], очистке воды [2</w:t>
      </w:r>
      <w:r w:rsidR="00DC01C4" w:rsidRP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производстве сверхпрочных тонких пленок </w:t>
      </w:r>
      <w:r w:rsidR="00DC01C4" w:rsidRP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C01C4" w:rsidRP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C01C4" w:rsidRP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1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сегодняшний день, большое количество работ посвящено электрохимическому способу получения оксида графита. Так, в литературе показано, что </w:t>
      </w:r>
      <w:r w:rsidR="007B72C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ОГ возможно при электрохимическом окислении графита в различных кислотах. Наиболее распространенным электролитом на сегодняшний день является концентрированная серная кислота</w:t>
      </w:r>
      <w:r w:rsidR="00DC01C4" w:rsidRP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[4</w:t>
      </w:r>
      <w:r w:rsid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>, 5</w:t>
      </w:r>
      <w:r w:rsidR="00DC01C4" w:rsidRP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7B72CD">
        <w:rPr>
          <w:rFonts w:ascii="Times New Roman" w:eastAsia="Times New Roman" w:hAnsi="Times New Roman" w:cs="Times New Roman"/>
          <w:color w:val="000000"/>
          <w:sz w:val="24"/>
          <w:szCs w:val="24"/>
        </w:rPr>
        <w:t>. Тем не менее, в литературе показано, что синтез возможен и в азотной кислоте</w:t>
      </w:r>
      <w:r w:rsidR="00DC01C4" w:rsidRP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6, </w:t>
      </w:r>
      <w:r w:rsidR="00DC01C4" w:rsidRPr="00DC01C4">
        <w:rPr>
          <w:rFonts w:ascii="Times New Roman" w:eastAsia="Times New Roman" w:hAnsi="Times New Roman" w:cs="Times New Roman"/>
          <w:color w:val="000000"/>
          <w:sz w:val="24"/>
          <w:szCs w:val="24"/>
        </w:rPr>
        <w:t>7]</w:t>
      </w:r>
      <w:r w:rsidR="007B72CD">
        <w:rPr>
          <w:rFonts w:ascii="Times New Roman" w:eastAsia="Times New Roman" w:hAnsi="Times New Roman" w:cs="Times New Roman"/>
          <w:color w:val="000000"/>
          <w:sz w:val="24"/>
          <w:szCs w:val="24"/>
        </w:rPr>
        <w:t>. Однако, в таком случае, получаемый продукт оказывается загрязненным исходным графитом.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Варьирование различных параметров, таких как концентрация электролита или плотность пропускаемого электричества, может помочь решить эту проблему. </w:t>
      </w:r>
      <w:r w:rsidR="001719E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целью работы был поиск условий, в которых окисление графитовой матрицы происходит наиболее полно.</w:t>
      </w:r>
    </w:p>
    <w:p w:rsidR="004E6C53" w:rsidRDefault="004818BF" w:rsidP="007E3A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 проводили в трехэлектродной ячейке с каломельным электродом сравнения. В качестве рабочего</w:t>
      </w:r>
      <w:r w:rsidR="00891A05"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вспомогательного электродов</w:t>
      </w:r>
      <w:r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выступал</w:t>
      </w:r>
      <w:r w:rsidR="00891A05"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A05"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>тонкая графитовая бумага толщиной</w:t>
      </w:r>
      <w:r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 мкм и массой около </w:t>
      </w:r>
      <w:r w:rsidR="00891A05"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мг.</w:t>
      </w:r>
      <w:r w:rsidR="00891A05"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синтеза варьировалась плотность тока (от 0,5 до 50 мА/см</w:t>
      </w:r>
      <w:r w:rsidR="00891A05" w:rsidRPr="006301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891A05"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Электролитом выступала </w:t>
      </w:r>
      <w:r w:rsidR="00891A05"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>зотная кислота</w:t>
      </w:r>
      <w:r w:rsidR="00891A05"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концентрацией от 10 до 65 масс.%</w:t>
      </w:r>
      <w:r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Полученные образцы исследовались методами рентгенофазового анализа, </w:t>
      </w:r>
      <w:r w:rsidR="00891A05"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A26B9"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>пектроскопии комбинационного рассеяния</w:t>
      </w:r>
      <w:r w:rsidR="00446A4C" w:rsidRP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(КР)</w:t>
      </w:r>
      <w:r w:rsidR="00F1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A05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энергодисперсионной рентгеновской спектроскопии.</w:t>
      </w:r>
    </w:p>
    <w:p w:rsidR="00891A05" w:rsidRDefault="00891A05" w:rsidP="007E3A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 w:rsid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>зультате работы выяснилось, что увеличение плотности тока приводит к сильной аморфизации получаемого продукта. При этом количество электричества, необходимого для окончания процесса переокисления графитовой матрицы, растет, что связано с протеканием различных побочных реакций, таких как разложение элетролита. С другой стороны, при малых токах (0,5 мА/см</w:t>
      </w:r>
      <w:r w:rsidR="00630134" w:rsidRPr="006301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630134">
        <w:rPr>
          <w:rFonts w:ascii="Times New Roman" w:eastAsia="Times New Roman" w:hAnsi="Times New Roman" w:cs="Times New Roman"/>
          <w:color w:val="000000"/>
          <w:sz w:val="24"/>
          <w:szCs w:val="24"/>
        </w:rPr>
        <w:t>), переокисления графита практически не происходит, и реакция останавливается на стадии интеркалирования</w:t>
      </w:r>
      <w:r w:rsidR="001719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0134" w:rsidRDefault="00630134" w:rsidP="007E3A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было выяснено, что процесс образования интеркалированных </w:t>
      </w:r>
      <w:r w:rsidR="00F56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соединений </w:t>
      </w:r>
      <w:r w:rsidR="00720694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графита (ИСГ) является необходимым для полного окисления графитовой матрицы. Показано, что образование ИСГ происходит в электролитах с концентрацией азотной кислоты больше 50 масс.%. При у</w:t>
      </w:r>
      <w:r w:rsidR="00171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меньшении концентрации электролита, в продукте остаются неокисленные графитовые домены, что было подтверждено при помощи рентгенофазового анализа. </w:t>
      </w:r>
    </w:p>
    <w:p w:rsidR="00747BD0" w:rsidRPr="004818BF" w:rsidRDefault="00006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DC01C4" w:rsidRPr="00DC01C4" w:rsidRDefault="00DC01C4" w:rsidP="00516347">
      <w:pPr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01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Chen, J., Perez-Page, M., Ji, Z., Zhang, Z., Guo, Z., Holmes, S. </w:t>
      </w:r>
      <w:proofErr w:type="gramStart"/>
      <w:r w:rsidRPr="00DC01C4">
        <w:rPr>
          <w:rFonts w:ascii="Times New Roman" w:eastAsia="Times New Roman" w:hAnsi="Times New Roman" w:cs="Times New Roman"/>
          <w:sz w:val="24"/>
          <w:szCs w:val="24"/>
          <w:lang w:val="en-US"/>
        </w:rPr>
        <w:t>One step</w:t>
      </w:r>
      <w:proofErr w:type="gramEnd"/>
      <w:r w:rsidRPr="00DC01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electrochemical exfoliation of natural graphite flakes into graphene oxide for polybenzimidazole composite membranes giving enhanced performance in high temperature fuel cells.</w:t>
      </w:r>
      <w:r w:rsidR="00B9343C"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</w:t>
      </w:r>
      <w:r w:rsidRPr="00DC01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01C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Journal of Power Sources</w:t>
      </w:r>
      <w:r w:rsidR="00B9343C" w:rsidRPr="0051634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 2021.</w:t>
      </w:r>
      <w:r w:rsidRPr="00DC01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343C"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V. </w:t>
      </w:r>
      <w:r w:rsidRPr="00DC01C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491</w:t>
      </w:r>
      <w:r w:rsidR="00B9343C"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>, 229550.</w:t>
      </w:r>
    </w:p>
    <w:p w:rsidR="00B9343C" w:rsidRPr="00516347" w:rsidRDefault="00B9343C" w:rsidP="0051634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>Khaliha, S., Bianchi, A., Kovtun, A., Tunioli, F., Boschi, A., Zambianchi, M., Paci, D., Bocchi, L., Valsecchi, S., Polesello, S., Liscio, A., Bergamini, M., Brunetti, M., Luis</w:t>
      </w:r>
      <w:r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Navacchia, M., Palermo, V., </w:t>
      </w: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>Melucci, M.</w:t>
      </w:r>
      <w:r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>Graphene oxide nanosheets for drinking water purification by tandem adsorption and microfiltration.</w:t>
      </w:r>
      <w:r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</w:t>
      </w: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343C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Separation and Purification Technology</w:t>
      </w:r>
      <w:r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>. 2022.</w:t>
      </w: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V. </w:t>
      </w:r>
      <w:r w:rsidRPr="00B9343C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300</w:t>
      </w:r>
      <w:r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121826. </w:t>
      </w:r>
    </w:p>
    <w:p w:rsidR="00B9343C" w:rsidRPr="00516347" w:rsidRDefault="00B9343C" w:rsidP="0051634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>Wang, S., Sun, X., Xu, F</w:t>
      </w:r>
      <w:r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Yang, M., Yin, W., Li, J., Li, Y. </w:t>
      </w: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>Strong yet tough graphene/graphene oxide hybrid films.</w:t>
      </w:r>
      <w:r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</w:t>
      </w: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343C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Carbon</w:t>
      </w:r>
      <w:r w:rsidRPr="0051634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 2021.</w:t>
      </w: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V. </w:t>
      </w:r>
      <w:r w:rsidRPr="00B9343C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179</w:t>
      </w:r>
      <w:r w:rsidRPr="0051634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163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P. </w:t>
      </w:r>
      <w:r w:rsidRPr="00B934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469–476. </w:t>
      </w:r>
    </w:p>
    <w:p w:rsidR="00DC01C4" w:rsidRPr="00516347" w:rsidRDefault="00DC01C4" w:rsidP="0051634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347">
        <w:rPr>
          <w:rFonts w:ascii="Times New Roman" w:hAnsi="Times New Roman" w:cs="Times New Roman"/>
          <w:sz w:val="24"/>
          <w:szCs w:val="24"/>
          <w:lang w:val="en-US"/>
        </w:rPr>
        <w:lastRenderedPageBreak/>
        <w:t>Gurzęda B.</w:t>
      </w:r>
      <w:r w:rsidR="00516347" w:rsidRPr="005163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16347">
        <w:rPr>
          <w:rFonts w:ascii="Times New Roman" w:hAnsi="Times New Roman" w:cs="Times New Roman"/>
          <w:sz w:val="24"/>
          <w:szCs w:val="24"/>
          <w:lang w:val="en-US"/>
        </w:rPr>
        <w:t xml:space="preserve"> Buchwald T.</w:t>
      </w:r>
      <w:r w:rsidR="00516347" w:rsidRPr="005163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16347">
        <w:rPr>
          <w:rFonts w:ascii="Times New Roman" w:hAnsi="Times New Roman" w:cs="Times New Roman"/>
          <w:sz w:val="24"/>
          <w:szCs w:val="24"/>
          <w:lang w:val="en-US"/>
        </w:rPr>
        <w:t xml:space="preserve"> Nocuń M.</w:t>
      </w:r>
      <w:r w:rsidR="00516347" w:rsidRPr="005163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16347">
        <w:rPr>
          <w:rFonts w:ascii="Times New Roman" w:hAnsi="Times New Roman" w:cs="Times New Roman"/>
          <w:sz w:val="24"/>
          <w:szCs w:val="24"/>
          <w:lang w:val="en-US"/>
        </w:rPr>
        <w:t xml:space="preserve"> Ba̧kowicz A.</w:t>
      </w:r>
      <w:r w:rsidR="00516347" w:rsidRPr="005163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16347">
        <w:rPr>
          <w:rFonts w:ascii="Times New Roman" w:hAnsi="Times New Roman" w:cs="Times New Roman"/>
          <w:sz w:val="24"/>
          <w:szCs w:val="24"/>
          <w:lang w:val="en-US"/>
        </w:rPr>
        <w:t xml:space="preserve"> Krawczyk P. Graphene Material Preparation through Thermal Treatment of Graphite Oxide Electrochemically Synthesized in Aqueous Sulfuric Acid.</w:t>
      </w:r>
      <w:r w:rsidR="00516347" w:rsidRPr="00516347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516347">
        <w:rPr>
          <w:rFonts w:ascii="Times New Roman" w:hAnsi="Times New Roman" w:cs="Times New Roman"/>
          <w:sz w:val="24"/>
          <w:szCs w:val="24"/>
          <w:lang w:val="en-US"/>
        </w:rPr>
        <w:t xml:space="preserve"> RSC Adv. 2017</w:t>
      </w:r>
      <w:r w:rsidR="00516347" w:rsidRPr="005163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6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6347" w:rsidRPr="00516347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51634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16347" w:rsidRPr="005163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6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6347" w:rsidRPr="00516347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516347">
        <w:rPr>
          <w:rFonts w:ascii="Times New Roman" w:hAnsi="Times New Roman" w:cs="Times New Roman"/>
          <w:sz w:val="24"/>
          <w:szCs w:val="24"/>
          <w:lang w:val="en-US"/>
        </w:rPr>
        <w:t>19904−19911</w:t>
      </w:r>
      <w:r w:rsidR="00516347" w:rsidRPr="0051634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343C" w:rsidRPr="00516347" w:rsidRDefault="00B9343C" w:rsidP="005163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16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Pei, S., Wei, Q., Huang, K.</w:t>
      </w:r>
      <w:r w:rsidR="00516347" w:rsidRPr="00516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Cheng H-M., Ren W.</w:t>
      </w:r>
      <w:r w:rsidRPr="00516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Green synthesis of graphene oxide by seconds timescale water electrolytic oxidation.</w:t>
      </w:r>
      <w:r w:rsidR="00516347" w:rsidRPr="00516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//</w:t>
      </w:r>
      <w:r w:rsidRPr="00516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51634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  <w:t>Nat Commun</w:t>
      </w:r>
      <w:r w:rsidRPr="00516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51634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9</w:t>
      </w:r>
      <w:r w:rsidR="00516347" w:rsidRPr="00516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2018.</w:t>
      </w:r>
      <w:r w:rsidRPr="00516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516347" w:rsidRPr="00516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V. </w:t>
      </w:r>
      <w:r w:rsidRPr="00516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145</w:t>
      </w:r>
      <w:r w:rsidR="00516347" w:rsidRPr="005163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Pr="005163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C01C4" w:rsidRPr="00516347" w:rsidRDefault="00DC01C4" w:rsidP="005163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163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Gurzeda B., Krawczyk P. Potential oscillations affected by the electrochemical overoxidation of graphite in aqueous nitric acid. // Electrochimica Acta. 2018. V. 267. P. 102-109.</w:t>
      </w:r>
    </w:p>
    <w:p w:rsidR="00DC01C4" w:rsidRPr="00516347" w:rsidRDefault="00DC01C4" w:rsidP="005163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163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Avdeev V.V., Tverezovskaya O.A., Sorokina N.E.</w:t>
      </w:r>
      <w:r w:rsidRPr="00516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63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Spontaneous and Electrochemical Intercalation of HNO</w:t>
      </w:r>
      <w:r w:rsidRPr="0051634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5163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into Graphite. // Molecular Crystals and Liquid Crystals Science and Technology. Section A. Molecular Crystals and Liquid Crystals // 2000. V. 340. P. 137-142.</w:t>
      </w:r>
    </w:p>
    <w:p w:rsidR="00DC01C4" w:rsidRPr="00292191" w:rsidRDefault="00DC01C4" w:rsidP="002921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DC01C4" w:rsidRPr="002921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E61D5"/>
    <w:multiLevelType w:val="hybridMultilevel"/>
    <w:tmpl w:val="1A08FF34"/>
    <w:lvl w:ilvl="0" w:tplc="3D041F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13376"/>
    <w:multiLevelType w:val="hybridMultilevel"/>
    <w:tmpl w:val="BA32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75400"/>
    <w:multiLevelType w:val="hybridMultilevel"/>
    <w:tmpl w:val="AA2A980E"/>
    <w:lvl w:ilvl="0" w:tplc="DE1439DA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D0"/>
    <w:rsid w:val="000054C0"/>
    <w:rsid w:val="00006DF3"/>
    <w:rsid w:val="00060C88"/>
    <w:rsid w:val="0016107B"/>
    <w:rsid w:val="001719EA"/>
    <w:rsid w:val="002050A7"/>
    <w:rsid w:val="00212C13"/>
    <w:rsid w:val="0021341B"/>
    <w:rsid w:val="0023250C"/>
    <w:rsid w:val="00292191"/>
    <w:rsid w:val="0031034F"/>
    <w:rsid w:val="0034476A"/>
    <w:rsid w:val="00351CC6"/>
    <w:rsid w:val="00354862"/>
    <w:rsid w:val="003900E8"/>
    <w:rsid w:val="00415BED"/>
    <w:rsid w:val="00421538"/>
    <w:rsid w:val="00446A4C"/>
    <w:rsid w:val="004818BF"/>
    <w:rsid w:val="004E6C53"/>
    <w:rsid w:val="00501346"/>
    <w:rsid w:val="00516347"/>
    <w:rsid w:val="00526E13"/>
    <w:rsid w:val="00572457"/>
    <w:rsid w:val="00576E9B"/>
    <w:rsid w:val="005862F9"/>
    <w:rsid w:val="005B7352"/>
    <w:rsid w:val="005C40E3"/>
    <w:rsid w:val="005C7DAF"/>
    <w:rsid w:val="00630134"/>
    <w:rsid w:val="006538C9"/>
    <w:rsid w:val="00720694"/>
    <w:rsid w:val="007320DD"/>
    <w:rsid w:val="00747BD0"/>
    <w:rsid w:val="00780F49"/>
    <w:rsid w:val="00786C40"/>
    <w:rsid w:val="00787672"/>
    <w:rsid w:val="007A26B9"/>
    <w:rsid w:val="007B72CD"/>
    <w:rsid w:val="007E3AF4"/>
    <w:rsid w:val="00821FA0"/>
    <w:rsid w:val="00856CB5"/>
    <w:rsid w:val="00891A05"/>
    <w:rsid w:val="00926F6B"/>
    <w:rsid w:val="0093085D"/>
    <w:rsid w:val="00934ACD"/>
    <w:rsid w:val="00A13AD8"/>
    <w:rsid w:val="00A16849"/>
    <w:rsid w:val="00A66FA9"/>
    <w:rsid w:val="00A71B21"/>
    <w:rsid w:val="00AC13B7"/>
    <w:rsid w:val="00B06FE4"/>
    <w:rsid w:val="00B134EE"/>
    <w:rsid w:val="00B23367"/>
    <w:rsid w:val="00B25F4D"/>
    <w:rsid w:val="00B50878"/>
    <w:rsid w:val="00B553D2"/>
    <w:rsid w:val="00B9343C"/>
    <w:rsid w:val="00BD106D"/>
    <w:rsid w:val="00BD57E1"/>
    <w:rsid w:val="00C205DB"/>
    <w:rsid w:val="00C240E4"/>
    <w:rsid w:val="00C8382F"/>
    <w:rsid w:val="00C840ED"/>
    <w:rsid w:val="00C86877"/>
    <w:rsid w:val="00CA5FFF"/>
    <w:rsid w:val="00D51910"/>
    <w:rsid w:val="00DB0B9A"/>
    <w:rsid w:val="00DC01C4"/>
    <w:rsid w:val="00DC7F6D"/>
    <w:rsid w:val="00DF2938"/>
    <w:rsid w:val="00E735DA"/>
    <w:rsid w:val="00F138A0"/>
    <w:rsid w:val="00F52D21"/>
    <w:rsid w:val="00F56D09"/>
    <w:rsid w:val="00F84157"/>
    <w:rsid w:val="00FB7A73"/>
    <w:rsid w:val="00FE1B2F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659AC-1948-4CE0-958B-5F399698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F52D2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C01C4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97E8-C11A-4B1E-8952-1288E1D3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Алексей Камаев</cp:lastModifiedBy>
  <cp:revision>2</cp:revision>
  <dcterms:created xsi:type="dcterms:W3CDTF">2023-02-16T19:38:00Z</dcterms:created>
  <dcterms:modified xsi:type="dcterms:W3CDTF">2023-02-16T19:38:00Z</dcterms:modified>
</cp:coreProperties>
</file>