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Органо-неорганические производные слоистого перовскитоподобного оксида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HCa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vertAlign w:val="subscript"/>
        </w:rPr>
        <w:t>2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Nb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vertAlign w:val="subscript"/>
        </w:rPr>
        <w:t>3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  <w:t>O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vertAlign w:val="subscript"/>
        </w:rPr>
        <w:t>10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 xml:space="preserve"> с бифункциональными органическими соединениями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vertAlign w:val="superscript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Храмова А.Д.,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 xml:space="preserve"> Силюков О.И.,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Зверева И.А.</w:t>
      </w: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 xml:space="preserve">Студент, 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val="en-US"/>
        </w:rPr>
        <w:t xml:space="preserve">2 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курс магистратуры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vertAlign w:val="superscript"/>
        </w:rPr>
        <w:t>1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Санкт-Петербургский государственный университет,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i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Институт Химии, Санкт-Петербург</w:t>
      </w: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>, Россия</w:t>
      </w:r>
    </w:p>
    <w:p>
      <w:pPr>
        <w:pStyle w:val="Normal"/>
        <w:shd w:fill="FFFFFF" w:val="clear"/>
        <w:spacing w:lineRule="auto" w:line="240" w:before="0" w:after="0"/>
        <w:jc w:val="center"/>
        <w:rPr/>
      </w:pPr>
      <w:r>
        <w:rPr>
          <w:rFonts w:eastAsia="Times New Roman" w:cs="Times New Roman" w:ascii="Times New Roman" w:hAnsi="Times New Roman"/>
          <w:i/>
          <w:iCs/>
          <w:sz w:val="24"/>
          <w:szCs w:val="24"/>
          <w:lang w:eastAsia="ru-RU"/>
        </w:rPr>
        <w:t xml:space="preserve">E–mail: </w:t>
      </w:r>
      <w:hyperlink r:id="rId2">
        <w:r>
          <w:rPr>
            <w:rStyle w:val="InternetLink"/>
            <w:rFonts w:eastAsia="Times New Roman" w:cs="Times New Roman" w:ascii="Times New Roman" w:hAnsi="Times New Roman"/>
            <w:i/>
            <w:iCs/>
            <w:sz w:val="24"/>
            <w:szCs w:val="24"/>
            <w:lang w:val="en-US"/>
          </w:rPr>
          <w:t>alinahramova</w:t>
        </w:r>
        <w:r>
          <w:rPr>
            <w:rStyle w:val="InternetLink"/>
            <w:rFonts w:eastAsia="Times New Roman" w:cs="Times New Roman" w:ascii="Times New Roman" w:hAnsi="Times New Roman"/>
            <w:i/>
            <w:iCs/>
            <w:sz w:val="24"/>
            <w:szCs w:val="24"/>
          </w:rPr>
          <w:t>01@</w:t>
        </w:r>
        <w:r>
          <w:rPr>
            <w:rStyle w:val="InternetLink"/>
            <w:rFonts w:eastAsia="Times New Roman" w:cs="Times New Roman" w:ascii="Times New Roman" w:hAnsi="Times New Roman"/>
            <w:i/>
            <w:iCs/>
            <w:sz w:val="24"/>
            <w:szCs w:val="24"/>
            <w:lang w:val="en-US"/>
          </w:rPr>
          <w:t>gmail</w:t>
        </w:r>
        <w:r>
          <w:rPr>
            <w:rStyle w:val="InternetLink"/>
            <w:rFonts w:eastAsia="Times New Roman" w:cs="Times New Roman" w:ascii="Times New Roman" w:hAnsi="Times New Roman"/>
            <w:i/>
            <w:iCs/>
            <w:sz w:val="24"/>
            <w:szCs w:val="24"/>
          </w:rPr>
          <w:t>.</w:t>
        </w:r>
        <w:r>
          <w:rPr>
            <w:rStyle w:val="InternetLink"/>
            <w:rFonts w:eastAsia="Times New Roman" w:cs="Times New Roman" w:ascii="Times New Roman" w:hAnsi="Times New Roman"/>
            <w:i/>
            <w:iCs/>
            <w:sz w:val="24"/>
            <w:szCs w:val="24"/>
            <w:lang w:val="en-US"/>
          </w:rPr>
          <w:t>com</w:t>
        </w:r>
      </w:hyperlink>
    </w:p>
    <w:p>
      <w:pPr>
        <w:pStyle w:val="Normal"/>
        <w:shd w:fill="FFFFFF" w:val="clear"/>
        <w:spacing w:lineRule="auto" w:line="240" w:before="0" w:after="0"/>
        <w:jc w:val="center"/>
        <w:rPr>
          <w:rFonts w:cs="Calibri"/>
        </w:rPr>
      </w:pPr>
      <w:r>
        <w:rPr>
          <w:rFonts w:cs="Calibri"/>
        </w:rPr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Перовскитоподобные слоистые оксиды содержащие в межслоевом пространстве щелочные катионы являются привлекательными объектами исследования благодаря особенностям своей структуры и ряда уникальных свойств, в частности, возможности ионного обмена и  интеркаляция. Продукты интеркаляции органических соединений в межслоевое пространство слоистых перовскитоподобных оксидов представляют интерес как сами по себе, так и из-за возможности их использования в синтезе гибридных материалов, модифицированных ковалентно связанными с ней органическими группами (графтинг), потенциально имеющих множество практических приложений [1], [2].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Данная работа посвящена разработке методики синтеза и характеризации органо-неорганических производных на основе протонировнного и гидратированного ниобата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HCa</w:t>
      </w:r>
      <w:r>
        <w:rPr>
          <w:rFonts w:eastAsia="Times New Roman" w:cs="Times New Roman" w:ascii="Times New Roman" w:hAnsi="Times New Roman"/>
          <w:sz w:val="24"/>
          <w:szCs w:val="24"/>
          <w:vertAlign w:val="subscript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Nb</w:t>
      </w:r>
      <w:r>
        <w:rPr>
          <w:rFonts w:eastAsia="Times New Roman" w:cs="Times New Roman" w:ascii="Times New Roman" w:hAnsi="Times New Roman"/>
          <w:sz w:val="24"/>
          <w:szCs w:val="24"/>
          <w:vertAlign w:val="subscript"/>
        </w:rPr>
        <w:t>3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O</w:t>
      </w:r>
      <w:r>
        <w:rPr>
          <w:rFonts w:eastAsia="Times New Roman" w:cs="Times New Roman" w:ascii="Times New Roman" w:hAnsi="Times New Roman"/>
          <w:sz w:val="24"/>
          <w:szCs w:val="24"/>
          <w:vertAlign w:val="subscript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>∙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yH</w:t>
      </w:r>
      <w:r>
        <w:rPr>
          <w:rFonts w:eastAsia="Times New Roman" w:cs="Times New Roman" w:ascii="Times New Roman" w:hAnsi="Times New Roman"/>
          <w:sz w:val="24"/>
          <w:szCs w:val="24"/>
          <w:vertAlign w:val="subscript"/>
        </w:rPr>
        <w:t>2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 моноэтаноламином </w:t>
      </w:r>
      <w:r>
        <w:rPr>
          <w:rFonts w:cs="Times New Roman" w:ascii="Times New Roman" w:hAnsi="Times New Roman"/>
          <w:color w:val="000000"/>
          <w:sz w:val="24"/>
          <w:szCs w:val="24"/>
        </w:rPr>
        <w:t>(HCa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Nb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>×MEA), диметилэтаноламином (HCa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Nb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>×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DMAE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)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и глицином </w:t>
      </w:r>
      <w:r>
        <w:rPr>
          <w:rFonts w:cs="Times New Roman" w:ascii="Times New Roman" w:hAnsi="Times New Roman"/>
          <w:color w:val="000000"/>
          <w:sz w:val="24"/>
          <w:szCs w:val="24"/>
        </w:rPr>
        <w:t>(HCa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Nb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>×Gly)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с различным типом связывания внедренных молекул в межслоевом пространстве. Разработка методики синтеза проводилась в условиях стандартного лабораторного эксперимента с варьированием температуры, времени и концентрации реагентов, а так же с использованием методов микроволнового и гидротермального синтеза. Полученные соединения были охарактеризованы с использованием методов рентгенофазового, термогравиметрического и элементного анализа, а также </w:t>
      </w:r>
      <w:r>
        <w:rPr>
          <w:rFonts w:eastAsia="Times New Roman" w:cs="Times New Roman" w:ascii="Times New Roman" w:hAnsi="Times New Roman"/>
          <w:sz w:val="24"/>
          <w:szCs w:val="24"/>
          <w:vertAlign w:val="superscript"/>
        </w:rPr>
        <w:t>13</w:t>
      </w:r>
      <w:r>
        <w:rPr>
          <w:rFonts w:eastAsia="Times New Roman" w:cs="Times New Roman" w:ascii="Times New Roman" w:hAnsi="Times New Roman"/>
          <w:sz w:val="24"/>
          <w:szCs w:val="24"/>
        </w:rPr>
        <w:t>С ЯМР спектроскопии. Основное внимание в докладе уделено качественному и количественному анализу.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Были проведены серии опытов c целью определения возможности и отработки оптимальных условий получения производных. Полученые соединения могут быть проидексированы в тетрагональной сингонии.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>Согласно результатам расчета,</w:t>
      </w:r>
      <w:r>
        <w:rPr/>
        <w:t xml:space="preserve">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наблюдается увеличение параметра решетки </w:t>
      </w:r>
      <w:r>
        <w:rPr>
          <w:rFonts w:cs="Times New Roman" w:ascii="Times New Roman" w:hAnsi="Times New Roman"/>
          <w:i/>
          <w:color w:val="000000"/>
          <w:sz w:val="24"/>
          <w:szCs w:val="24"/>
          <w:lang w:val="en-US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соответствующее увеличению межслоевого расстояния. Состав полученных образцов, рассчитанный из результатов термогравиметрического анализа и CHN анализа соответствует формулам: HCa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Nb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>∙0,30H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O∙0,75Gly,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HCa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Nb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>∙0,35H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O∙0,90MEA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</w:rPr>
        <w:t>и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 </w:t>
      </w:r>
      <w:r>
        <w:rPr>
          <w:rFonts w:cs="Times New Roman" w:ascii="Times New Roman" w:hAnsi="Times New Roman"/>
          <w:color w:val="000000"/>
          <w:sz w:val="24"/>
          <w:szCs w:val="24"/>
        </w:rPr>
        <w:t>HCa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Nb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>∙0,30H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O∙0,64</w:t>
      </w:r>
      <w:r>
        <w:rPr>
          <w:rFonts w:cs="Times New Roman" w:ascii="Times New Roman" w:hAnsi="Times New Roman"/>
          <w:color w:val="000000"/>
          <w:sz w:val="24"/>
          <w:szCs w:val="24"/>
          <w:lang w:val="en-US"/>
        </w:rPr>
        <w:t>DMAE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Times New Roman" w:hAnsi="Times New Roman"/>
          <w:color w:val="000000"/>
          <w:sz w:val="24"/>
          <w:szCs w:val="24"/>
        </w:rPr>
        <w:t>Таким образом, в ходе проведенных исследований удалось впервые получить и охарактеризовать производные слоистого перовскитоподобного ниобата HCa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Nb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3</w:t>
      </w:r>
      <w:r>
        <w:rPr>
          <w:rFonts w:cs="Times New Roman" w:ascii="Times New Roman" w:hAnsi="Times New Roman"/>
          <w:color w:val="000000"/>
          <w:sz w:val="24"/>
          <w:szCs w:val="24"/>
        </w:rPr>
        <w:t>O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10</w:t>
      </w:r>
      <w:r>
        <w:rPr>
          <w:rFonts w:cs="Times New Roman" w:ascii="Times New Roman" w:hAnsi="Times New Roman"/>
          <w:color w:val="000000"/>
          <w:sz w:val="24"/>
          <w:szCs w:val="24"/>
        </w:rPr>
        <w:t>∙yH</w:t>
      </w:r>
      <w:r>
        <w:rPr>
          <w:rFonts w:cs="Times New Roman" w:ascii="Times New Roman" w:hAnsi="Times New Roman"/>
          <w:color w:val="000000"/>
          <w:sz w:val="24"/>
          <w:szCs w:val="24"/>
          <w:vertAlign w:val="subscript"/>
        </w:rPr>
        <w:t>2</w:t>
      </w:r>
      <w:r>
        <w:rPr>
          <w:rFonts w:cs="Times New Roman" w:ascii="Times New Roman" w:hAnsi="Times New Roman"/>
          <w:color w:val="000000"/>
          <w:sz w:val="24"/>
          <w:szCs w:val="24"/>
        </w:rPr>
        <w:t>O с бифункциональными молекулами 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Исследования выполнены с использованием оборудования Научного парка СПбГУ. Авторы благодарят РЦ “Рентгенодифракционные методы исследования”, РЦ “Термогравиметрические и калориметрические методы исследования”, РЦ “Методы анализа состава вещества”, РЦ “Магнитно-резонансные методы исследования”.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Исследование выполнено при поддержке </w:t>
      </w:r>
      <w:r>
        <w:rPr>
          <w:rFonts w:cs="Times New Roman" w:ascii="Times New Roman" w:hAnsi="Times New Roman"/>
          <w:color w:val="000000"/>
          <w:sz w:val="24"/>
          <w:szCs w:val="24"/>
          <w:shd w:fill="FFFFFF" w:val="clear"/>
        </w:rPr>
        <w:t>РНФ (проект №19-13-00184-П и №22-73-10110)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Литература</w:t>
      </w:r>
    </w:p>
    <w:p>
      <w:pPr>
        <w:pStyle w:val="Style22"/>
        <w:numPr>
          <w:ilvl w:val="0"/>
          <w:numId w:val="1"/>
        </w:numPr>
        <w:shd w:fill="FFFFFF" w:val="clear"/>
        <w:spacing w:lineRule="auto" w:line="240" w:before="0" w:after="0"/>
        <w:contextualSpacing/>
        <w:jc w:val="both"/>
        <w:rPr>
          <w:sz w:val="24"/>
          <w:szCs w:val="24"/>
          <w:lang w:val="en-US"/>
        </w:rPr>
      </w:pP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K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G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S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Ra</w:t>
      </w:r>
      <w:bookmarkStart w:id="0" w:name="Ranmohotti"/>
      <w:bookmarkEnd w:id="0"/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nmohotti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E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Josepha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J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Choi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J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Zhang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  <w:lang w:val="en-US"/>
        </w:rPr>
        <w:t>J. B. Wiley, “Topochemical manipulation of perovskites: low-temperature reaction strategies for directing structure and properties,” Adv. Mater., vol. 23, no. 4, pp. 442–60, Jan. 2011.</w:t>
      </w:r>
    </w:p>
    <w:p>
      <w:pPr>
        <w:pStyle w:val="Style22"/>
        <w:numPr>
          <w:ilvl w:val="0"/>
          <w:numId w:val="1"/>
        </w:numPr>
        <w:shd w:fill="FFFFFF" w:val="clear"/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1" w:name="_Ref33640104"/>
      <w:bookmarkStart w:id="2" w:name="_Ref33640101"/>
      <w:r>
        <w:rPr>
          <w:rFonts w:cs="Times New Roman" w:ascii="Times New Roman" w:hAnsi="Times New Roman"/>
          <w:sz w:val="24"/>
          <w:szCs w:val="24"/>
          <w:lang w:val="en-US"/>
        </w:rPr>
        <w:t>A. J. Jacobson, J. W. Johnson, and J. T. Lewandowski, “Interlayer chemistry between thick transition-metal oxide layers: synthesis and intercalation reactions of K[Ca2Nan3NbnO3n+1] (3 .ltoreq. n .ltoreq. 7),” Inorg. Chem., vol. 24, no. 23, pp. 3727–3729, Nov.1985.</w:t>
      </w:r>
      <w:bookmarkEnd w:id="1"/>
      <w:bookmarkEnd w:id="2"/>
    </w:p>
    <w:sectPr>
      <w:type w:val="nextPage"/>
      <w:pgSz w:w="11906" w:h="16838"/>
      <w:pgMar w:left="1361" w:right="136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cc"/>
    <w:family w:val="swiss"/>
    <w:pitch w:val="variable"/>
  </w:font>
  <w:font w:name="Segoe UI">
    <w:charset w:val="cc"/>
    <w:family w:val="swiss"/>
    <w:pitch w:val="variable"/>
  </w:font>
  <w:font w:name="Arial"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  <w:spacing w:lineRule="auto" w:line="254" w:before="0" w:after="160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rongEmphasis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InternetLink">
    <w:name w:val="Hyperlink"/>
    <w:rPr>
      <w:color w:val="0563C1"/>
      <w:u w:val="single"/>
    </w:rPr>
  </w:style>
  <w:style w:type="character" w:styleId="Style15">
    <w:name w:val="Гиперссылка"/>
    <w:qFormat/>
    <w:rPr>
      <w:color w:val="0000FF"/>
      <w:u w:val="single"/>
    </w:rPr>
  </w:style>
  <w:style w:type="character" w:styleId="Style16">
    <w:name w:val="Знак примечания"/>
    <w:qFormat/>
    <w:rPr>
      <w:sz w:val="16"/>
      <w:szCs w:val="16"/>
    </w:rPr>
  </w:style>
  <w:style w:type="character" w:styleId="Style17">
    <w:name w:val="Текст примечания Знак"/>
    <w:qFormat/>
    <w:rPr>
      <w:rFonts w:ascii="Calibri" w:hAnsi="Calibri" w:eastAsia="Calibri" w:cs="Times New Roman"/>
      <w:lang w:eastAsia="zh-CN"/>
    </w:rPr>
  </w:style>
  <w:style w:type="character" w:styleId="Style18">
    <w:name w:val="Тема примечания Знак"/>
    <w:qFormat/>
    <w:rPr>
      <w:rFonts w:ascii="Calibri" w:hAnsi="Calibri" w:eastAsia="Calibri" w:cs="Times New Roman"/>
      <w:b/>
      <w:bCs/>
      <w:lang w:eastAsia="zh-CN"/>
    </w:rPr>
  </w:style>
  <w:style w:type="character" w:styleId="Style19">
    <w:name w:val="Текст выноски Знак"/>
    <w:qFormat/>
    <w:rPr>
      <w:rFonts w:ascii="Segoe UI" w:hAnsi="Segoe UI" w:eastAsia="Calibri" w:cs="Segoe UI"/>
      <w:sz w:val="18"/>
      <w:szCs w:val="18"/>
      <w:lang w:eastAsia="zh-C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DejaVu Sans;Verdana" w:cs="DejaVu Sans;Verdana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Style20">
    <w:name w:val="Название объекта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1">
    <w:name w:val="Обычный (веб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</w:rPr>
  </w:style>
  <w:style w:type="paragraph" w:styleId="Style22">
    <w:name w:val="Абзац списка"/>
    <w:basedOn w:val="Normal"/>
    <w:qFormat/>
    <w:pPr>
      <w:spacing w:before="0" w:after="160"/>
      <w:ind w:left="720" w:hanging="0"/>
      <w:contextualSpacing/>
    </w:pPr>
    <w:rPr/>
  </w:style>
  <w:style w:type="paragraph" w:styleId="Style23">
    <w:name w:val="Текст примечания"/>
    <w:basedOn w:val="Normal"/>
    <w:qFormat/>
    <w:pPr/>
    <w:rPr>
      <w:sz w:val="20"/>
      <w:szCs w:val="20"/>
    </w:rPr>
  </w:style>
  <w:style w:type="paragraph" w:styleId="Style24">
    <w:name w:val="Тема примечания"/>
    <w:basedOn w:val="Style23"/>
    <w:next w:val="Style23"/>
    <w:qFormat/>
    <w:pPr/>
    <w:rPr>
      <w:b/>
      <w:bCs/>
    </w:rPr>
  </w:style>
  <w:style w:type="paragraph" w:styleId="Style25">
    <w:name w:val="Текст выноски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6">
    <w:name w:val="Рецензия"/>
    <w:qFormat/>
    <w:pPr>
      <w:widowControl/>
      <w:bidi w:val="0"/>
    </w:pPr>
    <w:rPr>
      <w:rFonts w:ascii="Calibri" w:hAnsi="Calibri" w:eastAsia="Calibri" w:cs="Times New Roman"/>
      <w:color w:val="auto"/>
      <w:sz w:val="22"/>
      <w:szCs w:val="22"/>
      <w:lang w:val="ru-RU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linahramova01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2023-02-09T10:40:00Z</dcterms:created>
  <dc:creator>Пользователь Windows</dc:creator>
  <dc:description/>
  <cp:keywords/>
  <dc:language>en-US</dc:language>
  <cp:lastModifiedBy>Alina</cp:lastModifiedBy>
  <dcterms:modified xsi:type="dcterms:W3CDTF">2023-02-10T18:54:00Z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