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832A" w14:textId="4BF86C47" w:rsidR="001D74B9" w:rsidRPr="00D83A91" w:rsidRDefault="001D74B9" w:rsidP="00D83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91">
        <w:rPr>
          <w:rFonts w:ascii="Times New Roman" w:hAnsi="Times New Roman" w:cs="Times New Roman"/>
          <w:b/>
          <w:bCs/>
          <w:sz w:val="24"/>
          <w:szCs w:val="24"/>
        </w:rPr>
        <w:t xml:space="preserve">Синтез </w:t>
      </w:r>
      <w:r w:rsidR="009D1F7E" w:rsidRPr="00D83A91">
        <w:rPr>
          <w:rFonts w:ascii="Times New Roman" w:hAnsi="Times New Roman" w:cs="Times New Roman"/>
          <w:b/>
          <w:bCs/>
          <w:sz w:val="24"/>
          <w:szCs w:val="24"/>
        </w:rPr>
        <w:t xml:space="preserve">бимодальных композитов 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>порошков Li</w:t>
      </w:r>
      <w:r w:rsidRPr="00D83A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1+х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D83A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х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D83A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2-х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>(PO</w:t>
      </w:r>
      <w:r w:rsidRPr="00D83A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83A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83A91">
        <w:rPr>
          <w:rFonts w:ascii="Times New Roman" w:hAnsi="Times New Roman" w:cs="Times New Roman"/>
          <w:b/>
          <w:bCs/>
          <w:sz w:val="24"/>
          <w:szCs w:val="24"/>
          <w:lang w:val="en-US"/>
        </w:rPr>
        <w:t>LATP</w:t>
      </w:r>
      <w:r w:rsidRPr="00D83A91">
        <w:rPr>
          <w:rFonts w:ascii="Times New Roman" w:hAnsi="Times New Roman" w:cs="Times New Roman"/>
          <w:b/>
          <w:bCs/>
          <w:sz w:val="24"/>
          <w:szCs w:val="24"/>
        </w:rPr>
        <w:t xml:space="preserve">) для изготовления </w:t>
      </w:r>
      <w:r w:rsidR="00E059F2" w:rsidRPr="00D83A91">
        <w:rPr>
          <w:rFonts w:ascii="Times New Roman" w:hAnsi="Times New Roman" w:cs="Times New Roman"/>
          <w:b/>
          <w:bCs/>
          <w:sz w:val="24"/>
          <w:szCs w:val="24"/>
        </w:rPr>
        <w:t xml:space="preserve">высоко эффективной </w:t>
      </w:r>
      <w:proofErr w:type="spellStart"/>
      <w:r w:rsidRPr="00D83A91">
        <w:rPr>
          <w:rFonts w:ascii="Times New Roman" w:hAnsi="Times New Roman" w:cs="Times New Roman"/>
          <w:b/>
          <w:bCs/>
          <w:sz w:val="24"/>
          <w:szCs w:val="24"/>
        </w:rPr>
        <w:t>Li</w:t>
      </w:r>
      <w:proofErr w:type="spellEnd"/>
      <w:r w:rsidRPr="00D83A91">
        <w:rPr>
          <w:rFonts w:ascii="Times New Roman" w:hAnsi="Times New Roman" w:cs="Times New Roman"/>
          <w:b/>
          <w:bCs/>
          <w:sz w:val="24"/>
          <w:szCs w:val="24"/>
        </w:rPr>
        <w:t>-проводящей керамики</w:t>
      </w:r>
    </w:p>
    <w:p w14:paraId="76E5974C" w14:textId="6D725883" w:rsidR="009D1255" w:rsidRPr="00F73707" w:rsidRDefault="00605289" w:rsidP="00D83A91">
      <w:pPr>
        <w:spacing w:after="0" w:line="240" w:lineRule="auto"/>
        <w:jc w:val="center"/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</w:pPr>
      <w:r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>Кирьянова А</w:t>
      </w:r>
      <w:r w:rsidR="009D1255"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>.В.</w:t>
      </w:r>
      <w:r w:rsidR="009D1255"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  <w:vertAlign w:val="superscript"/>
        </w:rPr>
        <w:t>1</w:t>
      </w:r>
      <w:r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>,</w:t>
      </w:r>
      <w:r w:rsidR="009D1255"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 xml:space="preserve"> Яковлев И.И.</w:t>
      </w:r>
      <w:r w:rsidR="009D1255" w:rsidRPr="00F73707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  <w:vertAlign w:val="superscript"/>
        </w:rPr>
        <w:t>2</w:t>
      </w:r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 xml:space="preserve">, </w:t>
      </w:r>
      <w:proofErr w:type="spellStart"/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>Капитанова</w:t>
      </w:r>
      <w:proofErr w:type="spellEnd"/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 xml:space="preserve"> О.О.</w:t>
      </w:r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  <w:vertAlign w:val="superscript"/>
        </w:rPr>
        <w:t>1</w:t>
      </w:r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</w:rPr>
        <w:t>, С.Сюй</w:t>
      </w:r>
      <w:r w:rsidR="009F26E4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  <w:vertAlign w:val="superscript"/>
        </w:rPr>
        <w:t>1</w:t>
      </w:r>
    </w:p>
    <w:p w14:paraId="4CF3237F" w14:textId="1833626E" w:rsidR="00605289" w:rsidRDefault="009D1255" w:rsidP="00D83A91">
      <w:pPr>
        <w:spacing w:after="0" w:line="240" w:lineRule="auto"/>
        <w:jc w:val="center"/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</w:pPr>
      <w:r w:rsidRPr="009D1255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С</w:t>
      </w:r>
      <w:r w:rsidR="00605289" w:rsidRPr="00F73707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тудент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,</w:t>
      </w:r>
      <w:r w:rsidR="00605289" w:rsidRPr="00F73707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 xml:space="preserve"> 4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 xml:space="preserve"> курс бакалав</w:t>
      </w:r>
      <w:r w:rsid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риата</w:t>
      </w:r>
    </w:p>
    <w:p w14:paraId="7BED80DB" w14:textId="2C35341A" w:rsidR="009D1255" w:rsidRPr="009D1255" w:rsidRDefault="009D1255" w:rsidP="009D1255">
      <w:pPr>
        <w:spacing w:after="0" w:line="240" w:lineRule="auto"/>
        <w:jc w:val="center"/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vertAlign w:val="superscript"/>
        </w:rPr>
        <w:t>1</w:t>
      </w:r>
      <w:r w:rsidRPr="009D1255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2094F83D" w14:textId="30212D8F" w:rsidR="009D1255" w:rsidRDefault="009D1255" w:rsidP="009D1255">
      <w:pPr>
        <w:spacing w:after="0" w:line="240" w:lineRule="auto"/>
        <w:jc w:val="center"/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ф</w:t>
      </w:r>
      <w:r w:rsidRPr="009D1255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акультет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 xml:space="preserve"> наук о материалах</w:t>
      </w:r>
      <w:r w:rsidRPr="009D1255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, Москва, Россия</w:t>
      </w:r>
    </w:p>
    <w:p w14:paraId="03DD885E" w14:textId="46458A5D" w:rsidR="009F26E4" w:rsidRPr="00F73707" w:rsidRDefault="009F26E4" w:rsidP="009D1255">
      <w:pPr>
        <w:spacing w:after="0" w:line="240" w:lineRule="auto"/>
        <w:jc w:val="center"/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vertAlign w:val="superscript"/>
        </w:rPr>
        <w:t>2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 xml:space="preserve"> </w:t>
      </w:r>
      <w:r w:rsidR="00F73707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</w:rPr>
        <w:t>Российский химико-технологический университет имени Д.И. Менделеева, Москва, Россия</w:t>
      </w:r>
    </w:p>
    <w:p w14:paraId="3D0F5C48" w14:textId="6C20BD1D" w:rsidR="00605289" w:rsidRPr="00157C98" w:rsidRDefault="00F73707" w:rsidP="00D83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F73707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E</w:t>
      </w:r>
      <w:r w:rsidRP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-</w:t>
      </w:r>
      <w:r w:rsidRPr="00F73707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mail</w:t>
      </w:r>
      <w:r w:rsidRP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 xml:space="preserve">: 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Vov</w:t>
      </w:r>
      <w:r w:rsidRP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-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lena</w:t>
      </w:r>
      <w:r w:rsidRP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2010@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yandex</w:t>
      </w:r>
      <w:r w:rsidRPr="00157C98"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.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4"/>
          <w:szCs w:val="24"/>
          <w:lang w:val="en-US"/>
        </w:rPr>
        <w:t>ru</w:t>
      </w:r>
      <w:r w:rsidRPr="00157C98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  <w:lang w:val="en-US"/>
        </w:rPr>
        <w:t xml:space="preserve"> </w:t>
      </w:r>
    </w:p>
    <w:p w14:paraId="5819B65E" w14:textId="0CF442ED" w:rsidR="00FF6458" w:rsidRPr="00D83A91" w:rsidRDefault="001E266C" w:rsidP="00157C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3A91">
        <w:rPr>
          <w:rFonts w:ascii="Times New Roman" w:hAnsi="Times New Roman" w:cs="Times New Roman"/>
          <w:sz w:val="24"/>
          <w:szCs w:val="24"/>
        </w:rPr>
        <w:t xml:space="preserve">В настоящее время повышение удельных электрохимических характеристик </w:t>
      </w:r>
      <w:r w:rsidR="00507668" w:rsidRPr="00D83A91">
        <w:rPr>
          <w:rFonts w:ascii="Times New Roman" w:hAnsi="Times New Roman" w:cs="Times New Roman"/>
          <w:sz w:val="24"/>
          <w:szCs w:val="24"/>
        </w:rPr>
        <w:t>перезаряжаемых источников тока</w:t>
      </w:r>
      <w:r w:rsidRPr="00D83A91">
        <w:rPr>
          <w:rFonts w:ascii="Times New Roman" w:hAnsi="Times New Roman" w:cs="Times New Roman"/>
          <w:sz w:val="24"/>
          <w:szCs w:val="24"/>
        </w:rPr>
        <w:t xml:space="preserve"> является актуальной задачей для </w:t>
      </w:r>
      <w:r w:rsidR="00507668" w:rsidRPr="00D83A91">
        <w:rPr>
          <w:rFonts w:ascii="Times New Roman" w:hAnsi="Times New Roman" w:cs="Times New Roman"/>
          <w:sz w:val="24"/>
          <w:szCs w:val="24"/>
        </w:rPr>
        <w:t>ряда приложений</w:t>
      </w:r>
      <w:r w:rsidRPr="00D83A91">
        <w:rPr>
          <w:rFonts w:ascii="Times New Roman" w:hAnsi="Times New Roman" w:cs="Times New Roman"/>
          <w:sz w:val="24"/>
          <w:szCs w:val="24"/>
        </w:rPr>
        <w:t xml:space="preserve">, таких как портативная электроника и электромобили. Одним из важных направлений является разработка и оптимизация свойств электролитов. Так, </w:t>
      </w:r>
      <w:r w:rsidR="0058143D" w:rsidRPr="00D83A91">
        <w:rPr>
          <w:rFonts w:ascii="Times New Roman" w:hAnsi="Times New Roman" w:cs="Times New Roman"/>
          <w:sz w:val="24"/>
          <w:szCs w:val="24"/>
        </w:rPr>
        <w:t xml:space="preserve">наиболее распространенными являются </w:t>
      </w:r>
      <w:r w:rsidR="00507668" w:rsidRPr="00D83A91">
        <w:rPr>
          <w:rFonts w:ascii="Times New Roman" w:hAnsi="Times New Roman" w:cs="Times New Roman"/>
          <w:sz w:val="24"/>
          <w:szCs w:val="24"/>
        </w:rPr>
        <w:t>жидкие</w:t>
      </w:r>
      <w:r w:rsidRPr="00D83A91">
        <w:rPr>
          <w:rFonts w:ascii="Times New Roman" w:hAnsi="Times New Roman" w:cs="Times New Roman"/>
          <w:sz w:val="24"/>
          <w:szCs w:val="24"/>
        </w:rPr>
        <w:t xml:space="preserve"> электролиты на основе </w:t>
      </w:r>
      <w:r w:rsidR="00593422" w:rsidRPr="00D83A91">
        <w:rPr>
          <w:rFonts w:ascii="Times New Roman" w:hAnsi="Times New Roman" w:cs="Times New Roman"/>
          <w:sz w:val="24"/>
          <w:szCs w:val="24"/>
        </w:rPr>
        <w:t>органических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 растворителей</w:t>
      </w:r>
      <w:r w:rsidR="00593422" w:rsidRPr="00D83A91">
        <w:rPr>
          <w:rFonts w:ascii="Times New Roman" w:hAnsi="Times New Roman" w:cs="Times New Roman"/>
          <w:sz w:val="24"/>
          <w:szCs w:val="24"/>
        </w:rPr>
        <w:t>, содержащих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 литиевы</w:t>
      </w:r>
      <w:r w:rsidR="00593422" w:rsidRPr="00D83A91">
        <w:rPr>
          <w:rFonts w:ascii="Times New Roman" w:hAnsi="Times New Roman" w:cs="Times New Roman"/>
          <w:sz w:val="24"/>
          <w:szCs w:val="24"/>
        </w:rPr>
        <w:t>е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 сол</w:t>
      </w:r>
      <w:r w:rsidR="00593422" w:rsidRPr="00D83A91">
        <w:rPr>
          <w:rFonts w:ascii="Times New Roman" w:hAnsi="Times New Roman" w:cs="Times New Roman"/>
          <w:sz w:val="24"/>
          <w:szCs w:val="24"/>
        </w:rPr>
        <w:t>и</w:t>
      </w:r>
      <w:r w:rsidR="00084410" w:rsidRPr="00D83A91">
        <w:rPr>
          <w:rFonts w:ascii="Times New Roman" w:hAnsi="Times New Roman" w:cs="Times New Roman"/>
          <w:sz w:val="24"/>
          <w:szCs w:val="24"/>
        </w:rPr>
        <w:t>, в результате их высокой ионной проводимости ~ 10</w:t>
      </w:r>
      <w:r w:rsidR="00084410" w:rsidRPr="00D83A9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084410" w:rsidRPr="00D83A91">
        <w:rPr>
          <w:rFonts w:ascii="Times New Roman" w:hAnsi="Times New Roman" w:cs="Times New Roman"/>
          <w:sz w:val="24"/>
          <w:szCs w:val="24"/>
        </w:rPr>
        <w:t xml:space="preserve"> См/см</w:t>
      </w:r>
      <w:r w:rsidR="00507668" w:rsidRPr="00D83A91">
        <w:rPr>
          <w:rFonts w:ascii="Times New Roman" w:hAnsi="Times New Roman" w:cs="Times New Roman"/>
          <w:sz w:val="24"/>
          <w:szCs w:val="24"/>
        </w:rPr>
        <w:t>.</w:t>
      </w:r>
      <w:r w:rsidRPr="00D83A91">
        <w:rPr>
          <w:rFonts w:ascii="Times New Roman" w:hAnsi="Times New Roman" w:cs="Times New Roman"/>
          <w:sz w:val="24"/>
          <w:szCs w:val="24"/>
        </w:rPr>
        <w:t xml:space="preserve"> Однако, значимые недостатки </w:t>
      </w:r>
      <w:r w:rsidR="00AE2859" w:rsidRPr="00D83A91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D83A91">
        <w:rPr>
          <w:rFonts w:ascii="Times New Roman" w:hAnsi="Times New Roman" w:cs="Times New Roman"/>
          <w:sz w:val="24"/>
          <w:szCs w:val="24"/>
        </w:rPr>
        <w:t>электролитов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C43D51" w:rsidRPr="00D83A91">
        <w:rPr>
          <w:rFonts w:ascii="Times New Roman" w:hAnsi="Times New Roman" w:cs="Times New Roman"/>
          <w:sz w:val="24"/>
          <w:szCs w:val="24"/>
        </w:rPr>
        <w:t>электрохимическая и т</w:t>
      </w:r>
      <w:r w:rsidR="00C8113A" w:rsidRPr="00D83A91">
        <w:rPr>
          <w:rFonts w:ascii="Times New Roman" w:hAnsi="Times New Roman" w:cs="Times New Roman"/>
          <w:sz w:val="24"/>
          <w:szCs w:val="24"/>
        </w:rPr>
        <w:t>ермическая не</w:t>
      </w:r>
      <w:r w:rsidR="0059199A">
        <w:rPr>
          <w:rFonts w:ascii="Times New Roman" w:hAnsi="Times New Roman" w:cs="Times New Roman"/>
          <w:sz w:val="24"/>
          <w:szCs w:val="24"/>
        </w:rPr>
        <w:t>стабильность</w:t>
      </w:r>
      <w:r w:rsidR="007D1500" w:rsidRPr="00D83A91">
        <w:rPr>
          <w:rFonts w:ascii="Times New Roman" w:hAnsi="Times New Roman" w:cs="Times New Roman"/>
          <w:sz w:val="24"/>
          <w:szCs w:val="24"/>
        </w:rPr>
        <w:t xml:space="preserve">, экологическая токсичность значительно </w:t>
      </w:r>
      <w:r w:rsidRPr="00D83A91">
        <w:rPr>
          <w:rFonts w:ascii="Times New Roman" w:hAnsi="Times New Roman" w:cs="Times New Roman"/>
          <w:sz w:val="24"/>
          <w:szCs w:val="24"/>
        </w:rPr>
        <w:t xml:space="preserve">затрудняют их применение. </w:t>
      </w:r>
      <w:r w:rsidR="00A0288B" w:rsidRPr="00D83A91">
        <w:rPr>
          <w:rFonts w:ascii="Times New Roman" w:hAnsi="Times New Roman" w:cs="Times New Roman"/>
          <w:sz w:val="24"/>
          <w:szCs w:val="24"/>
        </w:rPr>
        <w:t>Твердотельный к</w:t>
      </w:r>
      <w:r w:rsidR="00507668" w:rsidRPr="00D83A91">
        <w:rPr>
          <w:rFonts w:ascii="Times New Roman" w:hAnsi="Times New Roman" w:cs="Times New Roman"/>
          <w:sz w:val="24"/>
          <w:szCs w:val="24"/>
        </w:rPr>
        <w:t>ерамический электролит</w:t>
      </w:r>
      <w:r w:rsidR="002E7CFB" w:rsidRPr="00D83A91">
        <w:rPr>
          <w:rFonts w:ascii="Times New Roman" w:hAnsi="Times New Roman" w:cs="Times New Roman"/>
          <w:sz w:val="24"/>
          <w:szCs w:val="24"/>
        </w:rPr>
        <w:t xml:space="preserve"> 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термически стабилен вплоть до экстремальных условий (~500ºС), не воспламеняем и </w:t>
      </w:r>
      <w:r w:rsidR="0061567E" w:rsidRPr="00D83A91">
        <w:rPr>
          <w:rFonts w:ascii="Times New Roman" w:hAnsi="Times New Roman" w:cs="Times New Roman"/>
          <w:sz w:val="24"/>
          <w:szCs w:val="24"/>
        </w:rPr>
        <w:t>устойчив</w:t>
      </w:r>
      <w:r w:rsidR="00507668" w:rsidRPr="00D83A91">
        <w:rPr>
          <w:rFonts w:ascii="Times New Roman" w:hAnsi="Times New Roman" w:cs="Times New Roman"/>
          <w:sz w:val="24"/>
          <w:szCs w:val="24"/>
        </w:rPr>
        <w:t xml:space="preserve"> на воздухе. </w:t>
      </w:r>
      <w:r w:rsidR="00A0288B" w:rsidRPr="00D83A91">
        <w:rPr>
          <w:rFonts w:ascii="Times New Roman" w:hAnsi="Times New Roman" w:cs="Times New Roman"/>
          <w:sz w:val="24"/>
          <w:szCs w:val="24"/>
        </w:rPr>
        <w:t>Так, о</w:t>
      </w:r>
      <w:r w:rsidR="00FF6458" w:rsidRPr="00D83A91">
        <w:rPr>
          <w:rFonts w:ascii="Times New Roman" w:hAnsi="Times New Roman" w:cs="Times New Roman"/>
          <w:sz w:val="24"/>
          <w:szCs w:val="24"/>
        </w:rPr>
        <w:t>дним из перспективных материалов для твердотельных электролитов является проводящая керамика Li</w:t>
      </w:r>
      <w:r w:rsidR="00FF6458" w:rsidRPr="00D83A91">
        <w:rPr>
          <w:rFonts w:ascii="Times New Roman" w:hAnsi="Times New Roman" w:cs="Times New Roman"/>
          <w:sz w:val="24"/>
          <w:szCs w:val="24"/>
          <w:vertAlign w:val="subscript"/>
        </w:rPr>
        <w:t>1.4</w:t>
      </w:r>
      <w:r w:rsidR="00FF6458" w:rsidRPr="00D83A91">
        <w:rPr>
          <w:rFonts w:ascii="Times New Roman" w:hAnsi="Times New Roman" w:cs="Times New Roman"/>
          <w:sz w:val="24"/>
          <w:szCs w:val="24"/>
        </w:rPr>
        <w:t>Al</w:t>
      </w:r>
      <w:r w:rsidR="00FF6458" w:rsidRPr="00D83A91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FF6458" w:rsidRPr="00D83A91">
        <w:rPr>
          <w:rFonts w:ascii="Times New Roman" w:hAnsi="Times New Roman" w:cs="Times New Roman"/>
          <w:sz w:val="24"/>
          <w:szCs w:val="24"/>
        </w:rPr>
        <w:t>Ti</w:t>
      </w:r>
      <w:r w:rsidR="00FF6458" w:rsidRPr="00D83A91">
        <w:rPr>
          <w:rFonts w:ascii="Times New Roman" w:hAnsi="Times New Roman" w:cs="Times New Roman"/>
          <w:sz w:val="24"/>
          <w:szCs w:val="24"/>
          <w:vertAlign w:val="subscript"/>
        </w:rPr>
        <w:t>1.6</w:t>
      </w:r>
      <w:r w:rsidR="00FF6458" w:rsidRPr="00D83A91">
        <w:rPr>
          <w:rFonts w:ascii="Times New Roman" w:hAnsi="Times New Roman" w:cs="Times New Roman"/>
          <w:sz w:val="24"/>
          <w:szCs w:val="24"/>
        </w:rPr>
        <w:t>(PO</w:t>
      </w:r>
      <w:r w:rsidR="00FF6458" w:rsidRPr="00D83A9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F6458" w:rsidRPr="00D83A91">
        <w:rPr>
          <w:rFonts w:ascii="Times New Roman" w:hAnsi="Times New Roman" w:cs="Times New Roman"/>
          <w:sz w:val="24"/>
          <w:szCs w:val="24"/>
        </w:rPr>
        <w:t>)</w:t>
      </w:r>
      <w:r w:rsidR="00FF6458" w:rsidRPr="00D83A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F6458" w:rsidRPr="00D83A91">
        <w:rPr>
          <w:rFonts w:ascii="Times New Roman" w:hAnsi="Times New Roman" w:cs="Times New Roman"/>
          <w:sz w:val="24"/>
          <w:szCs w:val="24"/>
        </w:rPr>
        <w:t xml:space="preserve"> (LATP) с</w:t>
      </w:r>
      <w:r w:rsidR="005C0A45" w:rsidRPr="00D83A91">
        <w:rPr>
          <w:rFonts w:ascii="Times New Roman" w:hAnsi="Times New Roman" w:cs="Times New Roman"/>
          <w:sz w:val="24"/>
          <w:szCs w:val="24"/>
        </w:rPr>
        <w:t xml:space="preserve"> кристаллической структурой</w:t>
      </w:r>
      <w:r w:rsidR="00FF6458" w:rsidRPr="00D83A91">
        <w:rPr>
          <w:rFonts w:ascii="Times New Roman" w:hAnsi="Times New Roman" w:cs="Times New Roman"/>
          <w:sz w:val="24"/>
          <w:szCs w:val="24"/>
        </w:rPr>
        <w:t xml:space="preserve"> </w:t>
      </w:r>
      <w:r w:rsidR="00FF6458" w:rsidRPr="00D83A91">
        <w:rPr>
          <w:rFonts w:ascii="Times New Roman" w:hAnsi="Times New Roman" w:cs="Times New Roman"/>
          <w:sz w:val="24"/>
          <w:szCs w:val="24"/>
          <w:lang w:val="en-US"/>
        </w:rPr>
        <w:t>NASICON</w:t>
      </w:r>
      <w:r w:rsidR="00FF6458" w:rsidRPr="00D83A91">
        <w:rPr>
          <w:rFonts w:ascii="Times New Roman" w:hAnsi="Times New Roman" w:cs="Times New Roman"/>
          <w:sz w:val="24"/>
          <w:szCs w:val="24"/>
        </w:rPr>
        <w:t xml:space="preserve">. </w:t>
      </w:r>
      <w:r w:rsidR="009A7D64" w:rsidRPr="00D83A91">
        <w:rPr>
          <w:rFonts w:ascii="Times New Roman" w:hAnsi="Times New Roman" w:cs="Times New Roman"/>
          <w:sz w:val="24"/>
          <w:szCs w:val="24"/>
        </w:rPr>
        <w:t>При этом п</w:t>
      </w:r>
      <w:r w:rsidR="00FF6458" w:rsidRPr="00D83A91">
        <w:rPr>
          <w:rFonts w:ascii="Times New Roman" w:hAnsi="Times New Roman" w:cs="Times New Roman"/>
          <w:sz w:val="24"/>
          <w:szCs w:val="24"/>
        </w:rPr>
        <w:t xml:space="preserve">одходы к синтезу </w:t>
      </w:r>
      <w:proofErr w:type="spellStart"/>
      <w:r w:rsidR="00FF6458" w:rsidRPr="00D83A91">
        <w:rPr>
          <w:rFonts w:ascii="Times New Roman" w:hAnsi="Times New Roman" w:cs="Times New Roman"/>
          <w:sz w:val="24"/>
          <w:szCs w:val="24"/>
        </w:rPr>
        <w:t>электрокерамики</w:t>
      </w:r>
      <w:proofErr w:type="spellEnd"/>
      <w:r w:rsidR="00FF6458" w:rsidRPr="00D83A91">
        <w:rPr>
          <w:rFonts w:ascii="Times New Roman" w:hAnsi="Times New Roman" w:cs="Times New Roman"/>
          <w:sz w:val="24"/>
          <w:szCs w:val="24"/>
        </w:rPr>
        <w:t xml:space="preserve"> можно разделить на твердотельные и жидкофазные. Однако, ни один метод не позволяет эффективно получить наночастицы с контролируемым размером менее 50 </w:t>
      </w:r>
      <w:proofErr w:type="spellStart"/>
      <w:r w:rsidR="00FF6458" w:rsidRPr="00D83A9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FF6458" w:rsidRPr="00D83A91">
        <w:rPr>
          <w:rFonts w:ascii="Times New Roman" w:hAnsi="Times New Roman" w:cs="Times New Roman"/>
          <w:sz w:val="24"/>
          <w:szCs w:val="24"/>
        </w:rPr>
        <w:t>. При этом</w:t>
      </w:r>
      <w:r w:rsidR="00CE4D5C" w:rsidRPr="00D83A91">
        <w:rPr>
          <w:rFonts w:ascii="Times New Roman" w:hAnsi="Times New Roman" w:cs="Times New Roman"/>
          <w:sz w:val="24"/>
          <w:szCs w:val="24"/>
        </w:rPr>
        <w:t xml:space="preserve"> </w:t>
      </w:r>
      <w:r w:rsidR="00FF6458" w:rsidRPr="00D83A91">
        <w:rPr>
          <w:rFonts w:ascii="Times New Roman" w:hAnsi="Times New Roman" w:cs="Times New Roman"/>
          <w:sz w:val="24"/>
          <w:szCs w:val="24"/>
        </w:rPr>
        <w:t xml:space="preserve">снижение размера частиц открывает возможности понижения температур синтеза и спекания керамики, а также позволяет повысить ее относительную плотность. </w:t>
      </w:r>
      <w:r w:rsidR="00CE4D5C" w:rsidRPr="00D83A91">
        <w:rPr>
          <w:rFonts w:ascii="Times New Roman" w:hAnsi="Times New Roman" w:cs="Times New Roman"/>
          <w:sz w:val="24"/>
          <w:szCs w:val="24"/>
        </w:rPr>
        <w:t xml:space="preserve">Также использование частиц </w:t>
      </w:r>
      <w:r w:rsidR="00CE4D5C" w:rsidRPr="00D83A91">
        <w:rPr>
          <w:rFonts w:ascii="Times New Roman" w:hAnsi="Times New Roman" w:cs="Times New Roman"/>
          <w:sz w:val="24"/>
          <w:szCs w:val="24"/>
          <w:lang w:val="en-US"/>
        </w:rPr>
        <w:t>LATP</w:t>
      </w:r>
      <w:r w:rsidR="00CE4D5C" w:rsidRPr="00D83A91">
        <w:rPr>
          <w:rFonts w:ascii="Times New Roman" w:hAnsi="Times New Roman" w:cs="Times New Roman"/>
          <w:sz w:val="24"/>
          <w:szCs w:val="24"/>
        </w:rPr>
        <w:t xml:space="preserve"> с бимодальным распределением по латеральному размеру (смесь нано- и микрочастиц)</w:t>
      </w:r>
      <w:r w:rsidR="002917E5" w:rsidRPr="00D83A91">
        <w:rPr>
          <w:rFonts w:ascii="Times New Roman" w:hAnsi="Times New Roman" w:cs="Times New Roman"/>
          <w:sz w:val="24"/>
          <w:szCs w:val="24"/>
        </w:rPr>
        <w:t xml:space="preserve"> способно значительно повысить относительную плотность и механическую прочность получаемого твердотельного электролита. </w:t>
      </w:r>
    </w:p>
    <w:p w14:paraId="4CF83768" w14:textId="613E5CC1" w:rsidR="003332EE" w:rsidRDefault="00DC1FE3" w:rsidP="00157C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3A91">
        <w:rPr>
          <w:rFonts w:ascii="Times New Roman" w:hAnsi="Times New Roman" w:cs="Times New Roman"/>
          <w:sz w:val="24"/>
          <w:szCs w:val="24"/>
        </w:rPr>
        <w:t xml:space="preserve">Так, на первом этапе синтеза проводили растворение </w:t>
      </w:r>
      <w:proofErr w:type="spellStart"/>
      <w:r w:rsidRPr="00D83A91">
        <w:rPr>
          <w:rFonts w:ascii="Times New Roman" w:hAnsi="Times New Roman" w:cs="Times New Roman"/>
          <w:sz w:val="24"/>
          <w:szCs w:val="24"/>
        </w:rPr>
        <w:t>тетрабутоксититана</w:t>
      </w:r>
      <w:proofErr w:type="spellEnd"/>
      <w:r w:rsidRPr="00D83A91">
        <w:rPr>
          <w:rFonts w:ascii="Times New Roman" w:hAnsi="Times New Roman" w:cs="Times New Roman"/>
          <w:sz w:val="24"/>
          <w:szCs w:val="24"/>
        </w:rPr>
        <w:t xml:space="preserve"> в 8М растворе азотной кислоты при 60°С и постоянном перемешивании. Далее Ti</w:t>
      </w:r>
      <w:r w:rsidRPr="00D83A91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="00DE0D46" w:rsidRPr="00D83A91">
        <w:rPr>
          <w:rFonts w:ascii="Times New Roman" w:hAnsi="Times New Roman" w:cs="Times New Roman"/>
          <w:sz w:val="24"/>
          <w:szCs w:val="24"/>
        </w:rPr>
        <w:t xml:space="preserve"> с различной концентрацией</w:t>
      </w:r>
      <w:r w:rsidRPr="00D83A9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3A91">
        <w:rPr>
          <w:rFonts w:ascii="Times New Roman" w:hAnsi="Times New Roman" w:cs="Times New Roman"/>
          <w:sz w:val="24"/>
          <w:szCs w:val="24"/>
        </w:rPr>
        <w:t xml:space="preserve">комплексовали раствором </w:t>
      </w:r>
      <w:r w:rsidR="00082FA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2FAA" w:rsidRPr="00082F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82FA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82FAA" w:rsidRPr="00082F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82FAA" w:rsidRPr="00082FAA">
        <w:rPr>
          <w:rFonts w:ascii="Times New Roman" w:hAnsi="Times New Roman" w:cs="Times New Roman"/>
          <w:sz w:val="24"/>
          <w:szCs w:val="24"/>
        </w:rPr>
        <w:t xml:space="preserve"> </w:t>
      </w:r>
      <w:r w:rsidRPr="00D83A91">
        <w:rPr>
          <w:rFonts w:ascii="Times New Roman" w:hAnsi="Times New Roman" w:cs="Times New Roman"/>
          <w:sz w:val="24"/>
          <w:szCs w:val="24"/>
        </w:rPr>
        <w:t>(30%) с образованием ярко-алого раствора. После этого в реакционную смесь добавляли соли прекурсоров</w:t>
      </w:r>
      <w:r w:rsidR="00023850" w:rsidRPr="00D83A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LiNO</w:t>
      </w:r>
      <w:proofErr w:type="spellEnd"/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3850" w:rsidRPr="00D83A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23850" w:rsidRPr="00D83A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3850" w:rsidRPr="00D83A91">
        <w:rPr>
          <w:rFonts w:ascii="Times New Roman" w:hAnsi="Times New Roman" w:cs="Times New Roman"/>
          <w:sz w:val="24"/>
          <w:szCs w:val="24"/>
        </w:rPr>
        <w:t>)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3850" w:rsidRPr="00D83A91">
        <w:rPr>
          <w:rFonts w:ascii="Times New Roman" w:hAnsi="Times New Roman" w:cs="Times New Roman"/>
          <w:sz w:val="24"/>
          <w:szCs w:val="24"/>
        </w:rPr>
        <w:t>·9</w:t>
      </w:r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23850" w:rsidRPr="00D83A91">
        <w:rPr>
          <w:rFonts w:ascii="Times New Roman" w:hAnsi="Times New Roman" w:cs="Times New Roman"/>
          <w:sz w:val="24"/>
          <w:szCs w:val="24"/>
        </w:rPr>
        <w:t xml:space="preserve"> и </w:t>
      </w:r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3850" w:rsidRPr="00D83A91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023850" w:rsidRPr="00D83A9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23850" w:rsidRPr="00D83A91">
        <w:rPr>
          <w:rFonts w:ascii="Times New Roman" w:hAnsi="Times New Roman" w:cs="Times New Roman"/>
          <w:sz w:val="24"/>
          <w:szCs w:val="24"/>
        </w:rPr>
        <w:t>)</w:t>
      </w:r>
      <w:r w:rsidRPr="00D83A91">
        <w:rPr>
          <w:rFonts w:ascii="Times New Roman" w:hAnsi="Times New Roman" w:cs="Times New Roman"/>
          <w:sz w:val="24"/>
          <w:szCs w:val="24"/>
        </w:rPr>
        <w:t xml:space="preserve"> в 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стехиометрических </w:t>
      </w:r>
      <w:r w:rsidRPr="00D83A91">
        <w:rPr>
          <w:rFonts w:ascii="Times New Roman" w:hAnsi="Times New Roman" w:cs="Times New Roman"/>
          <w:sz w:val="24"/>
          <w:szCs w:val="24"/>
        </w:rPr>
        <w:t xml:space="preserve">соотношениях. Стоит отметить, что после данного этапа раствор оставался прозрачным, что указывает на полное отсутствие побочных реакций осаждения. Для образования 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полимерной </w:t>
      </w:r>
      <w:r w:rsidRPr="00D83A91">
        <w:rPr>
          <w:rFonts w:ascii="Times New Roman" w:hAnsi="Times New Roman" w:cs="Times New Roman"/>
          <w:sz w:val="24"/>
          <w:szCs w:val="24"/>
        </w:rPr>
        <w:t xml:space="preserve">матрицы, которая зафиксирует равномерное распределение растворенных прекурсоров, использовали </w:t>
      </w:r>
      <w:proofErr w:type="spellStart"/>
      <w:r w:rsidRPr="00D83A91">
        <w:rPr>
          <w:rFonts w:ascii="Times New Roman" w:hAnsi="Times New Roman" w:cs="Times New Roman"/>
          <w:sz w:val="24"/>
          <w:szCs w:val="24"/>
        </w:rPr>
        <w:t>сополимеризацию</w:t>
      </w:r>
      <w:proofErr w:type="spellEnd"/>
      <w:r w:rsidR="00393BF3" w:rsidRPr="00D83A91">
        <w:rPr>
          <w:rFonts w:ascii="Times New Roman" w:hAnsi="Times New Roman" w:cs="Times New Roman"/>
          <w:sz w:val="24"/>
          <w:szCs w:val="24"/>
        </w:rPr>
        <w:t xml:space="preserve"> </w:t>
      </w:r>
      <w:r w:rsidRPr="00D83A91">
        <w:rPr>
          <w:rFonts w:ascii="Times New Roman" w:hAnsi="Times New Roman" w:cs="Times New Roman"/>
          <w:sz w:val="24"/>
          <w:szCs w:val="24"/>
        </w:rPr>
        <w:t xml:space="preserve">акриламида 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83A91">
        <w:rPr>
          <w:rFonts w:ascii="Times New Roman" w:hAnsi="Times New Roman" w:cs="Times New Roman"/>
          <w:sz w:val="24"/>
          <w:szCs w:val="24"/>
        </w:rPr>
        <w:t>N,N</w:t>
      </w:r>
      <w:proofErr w:type="gramEnd"/>
      <w:r w:rsidRPr="00D83A91">
        <w:rPr>
          <w:rFonts w:ascii="Times New Roman" w:hAnsi="Times New Roman" w:cs="Times New Roman"/>
          <w:sz w:val="24"/>
          <w:szCs w:val="24"/>
        </w:rPr>
        <w:t>'-</w:t>
      </w:r>
      <w:r w:rsidR="00DE0D46" w:rsidRPr="00D83A91">
        <w:rPr>
          <w:rFonts w:ascii="Times New Roman" w:hAnsi="Times New Roman" w:cs="Times New Roman"/>
          <w:sz w:val="24"/>
          <w:szCs w:val="24"/>
        </w:rPr>
        <w:t>м</w:t>
      </w:r>
      <w:r w:rsidRPr="00D83A91">
        <w:rPr>
          <w:rFonts w:ascii="Times New Roman" w:hAnsi="Times New Roman" w:cs="Times New Roman"/>
          <w:sz w:val="24"/>
          <w:szCs w:val="24"/>
        </w:rPr>
        <w:t xml:space="preserve">етилен-бис-акриламида. В результате были получены прозрачные полимерные 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композиты </w:t>
      </w:r>
      <w:r w:rsidRPr="00D83A91">
        <w:rPr>
          <w:rFonts w:ascii="Times New Roman" w:hAnsi="Times New Roman" w:cs="Times New Roman"/>
          <w:sz w:val="24"/>
          <w:szCs w:val="24"/>
        </w:rPr>
        <w:t xml:space="preserve">желтого цвета с равномерным распределением </w:t>
      </w:r>
      <w:proofErr w:type="gramStart"/>
      <w:r w:rsidR="003332EE" w:rsidRPr="00D83A91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3332EE" w:rsidRPr="00D83A91">
        <w:rPr>
          <w:rFonts w:ascii="Times New Roman" w:hAnsi="Times New Roman" w:cs="Times New Roman"/>
          <w:sz w:val="24"/>
          <w:szCs w:val="24"/>
        </w:rPr>
        <w:t>,</w:t>
      </w:r>
      <w:r w:rsidR="003332EE" w:rsidRPr="00D83A9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3332EE" w:rsidRPr="00D83A91">
        <w:rPr>
          <w:rFonts w:ascii="Times New Roman" w:hAnsi="Times New Roman" w:cs="Times New Roman"/>
          <w:sz w:val="24"/>
          <w:szCs w:val="24"/>
        </w:rPr>
        <w:t xml:space="preserve"> </w:t>
      </w:r>
      <w:r w:rsidR="003332EE" w:rsidRPr="00D83A9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3332EE" w:rsidRPr="00D83A9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2EE" w:rsidRPr="00D83A91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3332EE" w:rsidRPr="00D83A91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="003332EE" w:rsidRPr="00D83A91">
        <w:rPr>
          <w:rFonts w:ascii="Times New Roman" w:hAnsi="Times New Roman" w:cs="Times New Roman"/>
          <w:sz w:val="24"/>
          <w:szCs w:val="24"/>
        </w:rPr>
        <w:t>-солей</w:t>
      </w:r>
      <w:r w:rsidRPr="00D83A91">
        <w:rPr>
          <w:rFonts w:ascii="Times New Roman" w:hAnsi="Times New Roman" w:cs="Times New Roman"/>
          <w:sz w:val="24"/>
          <w:szCs w:val="24"/>
        </w:rPr>
        <w:t>, которые затем термически обрабатывали при 700-800°</w:t>
      </w:r>
      <w:r w:rsidR="00082FAA" w:rsidRPr="00082FAA">
        <w:rPr>
          <w:rFonts w:ascii="Times New Roman" w:hAnsi="Times New Roman" w:cs="Times New Roman"/>
          <w:sz w:val="24"/>
          <w:szCs w:val="24"/>
        </w:rPr>
        <w:t xml:space="preserve">. </w:t>
      </w:r>
      <w:r w:rsidRPr="00D83A91">
        <w:rPr>
          <w:rFonts w:ascii="Times New Roman" w:hAnsi="Times New Roman" w:cs="Times New Roman"/>
          <w:sz w:val="24"/>
          <w:szCs w:val="24"/>
        </w:rPr>
        <w:t xml:space="preserve">В результате удалось получить наночастицы с размером 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в диапазоне от 100 до </w:t>
      </w:r>
      <w:r w:rsidRPr="00D83A91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D83A9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3332EE" w:rsidRPr="00D83A91">
        <w:rPr>
          <w:rFonts w:ascii="Times New Roman" w:hAnsi="Times New Roman" w:cs="Times New Roman"/>
          <w:sz w:val="24"/>
          <w:szCs w:val="24"/>
        </w:rPr>
        <w:t xml:space="preserve"> в зависимости от</w:t>
      </w:r>
      <w:r w:rsidR="00EB6E89" w:rsidRPr="00D83A91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r w:rsidR="003332EE" w:rsidRPr="00D83A91">
        <w:rPr>
          <w:rFonts w:ascii="Times New Roman" w:hAnsi="Times New Roman" w:cs="Times New Roman"/>
          <w:sz w:val="24"/>
          <w:szCs w:val="24"/>
        </w:rPr>
        <w:t>компонент</w:t>
      </w:r>
      <w:r w:rsidR="00EB6E89" w:rsidRPr="00D83A91">
        <w:rPr>
          <w:rFonts w:ascii="Times New Roman" w:hAnsi="Times New Roman" w:cs="Times New Roman"/>
          <w:sz w:val="24"/>
          <w:szCs w:val="24"/>
        </w:rPr>
        <w:t>ов</w:t>
      </w:r>
      <w:r w:rsidR="003332EE" w:rsidRPr="00D83A91">
        <w:rPr>
          <w:rFonts w:ascii="Times New Roman" w:hAnsi="Times New Roman" w:cs="Times New Roman"/>
          <w:sz w:val="24"/>
          <w:szCs w:val="24"/>
        </w:rPr>
        <w:t xml:space="preserve"> композита</w:t>
      </w:r>
      <w:r w:rsidR="005C0A45" w:rsidRPr="00D83A91">
        <w:rPr>
          <w:rFonts w:ascii="Times New Roman" w:hAnsi="Times New Roman" w:cs="Times New Roman"/>
          <w:sz w:val="24"/>
          <w:szCs w:val="24"/>
        </w:rPr>
        <w:t xml:space="preserve"> и температуры синтеза</w:t>
      </w:r>
      <w:r w:rsidR="0091103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D83A91">
        <w:rPr>
          <w:rFonts w:ascii="Times New Roman" w:hAnsi="Times New Roman" w:cs="Times New Roman"/>
          <w:sz w:val="24"/>
          <w:szCs w:val="24"/>
        </w:rPr>
        <w:t>ранее не был</w:t>
      </w:r>
      <w:r w:rsidR="0091103D">
        <w:rPr>
          <w:rFonts w:ascii="Times New Roman" w:hAnsi="Times New Roman" w:cs="Times New Roman"/>
          <w:sz w:val="24"/>
          <w:szCs w:val="24"/>
        </w:rPr>
        <w:t>о</w:t>
      </w:r>
      <w:r w:rsidRPr="00D83A91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91103D">
        <w:rPr>
          <w:rFonts w:ascii="Times New Roman" w:hAnsi="Times New Roman" w:cs="Times New Roman"/>
          <w:sz w:val="24"/>
          <w:szCs w:val="24"/>
        </w:rPr>
        <w:t>о</w:t>
      </w:r>
      <w:r w:rsidRPr="00D83A91">
        <w:rPr>
          <w:rFonts w:ascii="Times New Roman" w:hAnsi="Times New Roman" w:cs="Times New Roman"/>
          <w:sz w:val="24"/>
          <w:szCs w:val="24"/>
        </w:rPr>
        <w:t xml:space="preserve"> в литературе. </w:t>
      </w:r>
      <w:r w:rsidR="00DB1132">
        <w:rPr>
          <w:rFonts w:ascii="Times New Roman" w:hAnsi="Times New Roman" w:cs="Times New Roman"/>
          <w:sz w:val="24"/>
          <w:szCs w:val="24"/>
        </w:rPr>
        <w:t xml:space="preserve">Микрочастицы с латеральных размером </w:t>
      </w:r>
      <w:r w:rsidR="00DB1132" w:rsidRPr="00D83A91">
        <w:rPr>
          <w:rFonts w:ascii="Times New Roman" w:hAnsi="Times New Roman" w:cs="Times New Roman"/>
          <w:sz w:val="24"/>
          <w:szCs w:val="24"/>
        </w:rPr>
        <w:t>~</w:t>
      </w:r>
      <w:r w:rsidR="00DB1132">
        <w:rPr>
          <w:rFonts w:ascii="Times New Roman" w:hAnsi="Times New Roman" w:cs="Times New Roman"/>
          <w:sz w:val="24"/>
          <w:szCs w:val="24"/>
        </w:rPr>
        <w:t xml:space="preserve"> </w:t>
      </w:r>
      <w:r w:rsidR="00DB1132" w:rsidRPr="00D83A91">
        <w:rPr>
          <w:rFonts w:ascii="Times New Roman" w:hAnsi="Times New Roman" w:cs="Times New Roman"/>
          <w:sz w:val="24"/>
          <w:szCs w:val="24"/>
        </w:rPr>
        <w:t xml:space="preserve">600 </w:t>
      </w:r>
      <w:proofErr w:type="spellStart"/>
      <w:r w:rsidR="00DB1132" w:rsidRPr="00D83A9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DB1132">
        <w:rPr>
          <w:rFonts w:ascii="Times New Roman" w:hAnsi="Times New Roman" w:cs="Times New Roman"/>
          <w:sz w:val="24"/>
          <w:szCs w:val="24"/>
        </w:rPr>
        <w:t xml:space="preserve"> получали методом твердофазной реакции. </w:t>
      </w:r>
      <w:r w:rsidR="00EB6E89" w:rsidRPr="00D83A91">
        <w:rPr>
          <w:rFonts w:ascii="Times New Roman" w:hAnsi="Times New Roman" w:cs="Times New Roman"/>
          <w:sz w:val="24"/>
          <w:szCs w:val="24"/>
        </w:rPr>
        <w:t xml:space="preserve">Далее полученные </w:t>
      </w:r>
      <w:r w:rsidR="00DB1132">
        <w:rPr>
          <w:rFonts w:ascii="Times New Roman" w:hAnsi="Times New Roman" w:cs="Times New Roman"/>
          <w:sz w:val="24"/>
          <w:szCs w:val="24"/>
        </w:rPr>
        <w:t xml:space="preserve">порошки </w:t>
      </w:r>
      <w:r w:rsidR="00EB6E89" w:rsidRPr="00D83A91">
        <w:rPr>
          <w:rFonts w:ascii="Times New Roman" w:hAnsi="Times New Roman" w:cs="Times New Roman"/>
          <w:sz w:val="24"/>
          <w:szCs w:val="24"/>
        </w:rPr>
        <w:t>смешивали</w:t>
      </w:r>
      <w:r w:rsidR="00DB1132">
        <w:rPr>
          <w:rFonts w:ascii="Times New Roman" w:hAnsi="Times New Roman" w:cs="Times New Roman"/>
          <w:sz w:val="24"/>
          <w:szCs w:val="24"/>
        </w:rPr>
        <w:t xml:space="preserve"> </w:t>
      </w:r>
      <w:r w:rsidR="00EB6E89" w:rsidRPr="00D83A91">
        <w:rPr>
          <w:rFonts w:ascii="Times New Roman" w:hAnsi="Times New Roman" w:cs="Times New Roman"/>
          <w:sz w:val="24"/>
          <w:szCs w:val="24"/>
        </w:rPr>
        <w:t>в различных соотношениях, что позволило повысить относительную плотность вплоть до 96,4% и ион</w:t>
      </w:r>
      <w:r w:rsidR="00F568EF" w:rsidRPr="00D83A91">
        <w:rPr>
          <w:rFonts w:ascii="Times New Roman" w:hAnsi="Times New Roman" w:cs="Times New Roman"/>
          <w:sz w:val="24"/>
          <w:szCs w:val="24"/>
        </w:rPr>
        <w:t>н</w:t>
      </w:r>
      <w:r w:rsidR="00DB1132">
        <w:rPr>
          <w:rFonts w:ascii="Times New Roman" w:hAnsi="Times New Roman" w:cs="Times New Roman"/>
          <w:sz w:val="24"/>
          <w:szCs w:val="24"/>
        </w:rPr>
        <w:t>ую</w:t>
      </w:r>
      <w:r w:rsidR="00F568EF" w:rsidRPr="00D83A91">
        <w:rPr>
          <w:rFonts w:ascii="Times New Roman" w:hAnsi="Times New Roman" w:cs="Times New Roman"/>
          <w:sz w:val="24"/>
          <w:szCs w:val="24"/>
        </w:rPr>
        <w:t xml:space="preserve"> проводимость ~ 6*10</w:t>
      </w:r>
      <w:r w:rsidR="00F568EF" w:rsidRPr="00D83A91">
        <w:rPr>
          <w:rFonts w:ascii="Times New Roman" w:hAnsi="Times New Roman" w:cs="Times New Roman"/>
          <w:sz w:val="24"/>
          <w:szCs w:val="24"/>
          <w:vertAlign w:val="superscript"/>
        </w:rPr>
        <w:t xml:space="preserve">-4 </w:t>
      </w:r>
      <w:r w:rsidR="00F568EF" w:rsidRPr="00D83A91">
        <w:rPr>
          <w:rFonts w:ascii="Times New Roman" w:hAnsi="Times New Roman" w:cs="Times New Roman"/>
          <w:sz w:val="24"/>
          <w:szCs w:val="24"/>
        </w:rPr>
        <w:t>См/см</w:t>
      </w:r>
      <w:r w:rsidR="00DB1132">
        <w:rPr>
          <w:rFonts w:ascii="Times New Roman" w:hAnsi="Times New Roman" w:cs="Times New Roman"/>
          <w:sz w:val="24"/>
          <w:szCs w:val="24"/>
        </w:rPr>
        <w:t xml:space="preserve">, что значительно выше значений, получаемых для </w:t>
      </w:r>
      <w:proofErr w:type="spellStart"/>
      <w:r w:rsidR="00DB1132">
        <w:rPr>
          <w:rFonts w:ascii="Times New Roman" w:hAnsi="Times New Roman" w:cs="Times New Roman"/>
          <w:sz w:val="24"/>
          <w:szCs w:val="24"/>
        </w:rPr>
        <w:t>электрокерамики</w:t>
      </w:r>
      <w:proofErr w:type="spellEnd"/>
      <w:r w:rsidR="00DB1132">
        <w:rPr>
          <w:rFonts w:ascii="Times New Roman" w:hAnsi="Times New Roman" w:cs="Times New Roman"/>
          <w:sz w:val="24"/>
          <w:szCs w:val="24"/>
        </w:rPr>
        <w:t xml:space="preserve"> с </w:t>
      </w:r>
      <w:r w:rsidR="0091103D">
        <w:rPr>
          <w:rFonts w:ascii="Times New Roman" w:hAnsi="Times New Roman" w:cs="Times New Roman"/>
          <w:sz w:val="24"/>
          <w:szCs w:val="24"/>
        </w:rPr>
        <w:t>монодисперсным распределением частиц по размеру</w:t>
      </w:r>
      <w:r w:rsidR="00F568EF" w:rsidRPr="00D83A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F315F" w14:textId="6DAB36E5" w:rsidR="00DC1FE3" w:rsidRPr="001E266C" w:rsidRDefault="00DC1FE3" w:rsidP="00DC72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1FE3" w:rsidRPr="001E266C" w:rsidSect="00F7370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0"/>
    <w:rsid w:val="00023850"/>
    <w:rsid w:val="000649A7"/>
    <w:rsid w:val="00082FAA"/>
    <w:rsid w:val="00084410"/>
    <w:rsid w:val="00090C03"/>
    <w:rsid w:val="00136870"/>
    <w:rsid w:val="001408DF"/>
    <w:rsid w:val="00157C98"/>
    <w:rsid w:val="00196406"/>
    <w:rsid w:val="001D74B9"/>
    <w:rsid w:val="001E266C"/>
    <w:rsid w:val="00234B3D"/>
    <w:rsid w:val="002917E5"/>
    <w:rsid w:val="002E7CFB"/>
    <w:rsid w:val="002F0FC6"/>
    <w:rsid w:val="002F26DF"/>
    <w:rsid w:val="003332EE"/>
    <w:rsid w:val="0033787A"/>
    <w:rsid w:val="003474A9"/>
    <w:rsid w:val="003660B7"/>
    <w:rsid w:val="00393BF3"/>
    <w:rsid w:val="003C0DAD"/>
    <w:rsid w:val="00507668"/>
    <w:rsid w:val="005160DA"/>
    <w:rsid w:val="0058143D"/>
    <w:rsid w:val="005843AC"/>
    <w:rsid w:val="0059199A"/>
    <w:rsid w:val="00593422"/>
    <w:rsid w:val="005C0A45"/>
    <w:rsid w:val="00605289"/>
    <w:rsid w:val="0061567E"/>
    <w:rsid w:val="007C4B07"/>
    <w:rsid w:val="007D1500"/>
    <w:rsid w:val="00812773"/>
    <w:rsid w:val="0091103D"/>
    <w:rsid w:val="00920DDC"/>
    <w:rsid w:val="00942800"/>
    <w:rsid w:val="009A7D64"/>
    <w:rsid w:val="009D1255"/>
    <w:rsid w:val="009D1F7E"/>
    <w:rsid w:val="009F26E4"/>
    <w:rsid w:val="00A0288B"/>
    <w:rsid w:val="00AE2859"/>
    <w:rsid w:val="00B8029E"/>
    <w:rsid w:val="00C43D51"/>
    <w:rsid w:val="00C8113A"/>
    <w:rsid w:val="00C86887"/>
    <w:rsid w:val="00CB5C2F"/>
    <w:rsid w:val="00CE164E"/>
    <w:rsid w:val="00CE4D5C"/>
    <w:rsid w:val="00D3433E"/>
    <w:rsid w:val="00D60D6E"/>
    <w:rsid w:val="00D83A91"/>
    <w:rsid w:val="00DA7DE5"/>
    <w:rsid w:val="00DB1132"/>
    <w:rsid w:val="00DC1FE3"/>
    <w:rsid w:val="00DC7229"/>
    <w:rsid w:val="00DE0D46"/>
    <w:rsid w:val="00E059F2"/>
    <w:rsid w:val="00EB6E89"/>
    <w:rsid w:val="00EE35D0"/>
    <w:rsid w:val="00EF3E8B"/>
    <w:rsid w:val="00F568EF"/>
    <w:rsid w:val="00F7114D"/>
    <w:rsid w:val="00F73707"/>
    <w:rsid w:val="00F83D1B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E926"/>
  <w15:chartTrackingRefBased/>
  <w15:docId w15:val="{E2C39FB6-35DD-4CB4-B9B5-8D08410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68"/>
    <w:rPr>
      <w:rFonts w:ascii="Times New Roman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332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32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32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32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3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405B-C3DA-49DB-994F-DAA3CD78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AlinaKirianova@outlook.com</dc:creator>
  <cp:keywords/>
  <dc:description/>
  <cp:lastModifiedBy>AlinaKirianova@outlook.com</cp:lastModifiedBy>
  <cp:revision>151</cp:revision>
  <dcterms:created xsi:type="dcterms:W3CDTF">2022-11-30T14:33:00Z</dcterms:created>
  <dcterms:modified xsi:type="dcterms:W3CDTF">2023-02-18T14:13:00Z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d10aff27-8345-3cfd-a438-f7c5bbc8336d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http://csl.mendeley.com/styles/111723441/neuroreport-PhD</vt:lpwstr>
  </property>
  <property fmtid="{D5CDD505-2E9C-101B-9397-08002B2CF9AE}" pid="22" name="Mendeley Recent Style Name 8_1">
    <vt:lpwstr>NeuroReport - PhD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