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6ED64" w14:textId="77777777" w:rsidR="005E01D5" w:rsidRDefault="005E01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5E01D5">
        <w:rPr>
          <w:b/>
          <w:color w:val="000000"/>
        </w:rPr>
        <w:t xml:space="preserve">Электрохимические свойства </w:t>
      </w:r>
      <w:proofErr w:type="spellStart"/>
      <w:r w:rsidRPr="005E01D5">
        <w:rPr>
          <w:b/>
          <w:color w:val="000000"/>
        </w:rPr>
        <w:t>редокс</w:t>
      </w:r>
      <w:proofErr w:type="spellEnd"/>
      <w:r w:rsidRPr="005E01D5">
        <w:rPr>
          <w:b/>
          <w:color w:val="000000"/>
        </w:rPr>
        <w:t xml:space="preserve">-активных </w:t>
      </w:r>
      <w:proofErr w:type="spellStart"/>
      <w:r w:rsidRPr="005E01D5">
        <w:rPr>
          <w:b/>
          <w:color w:val="000000"/>
        </w:rPr>
        <w:t>микрогелей</w:t>
      </w:r>
      <w:proofErr w:type="spellEnd"/>
      <w:r w:rsidRPr="005E01D5">
        <w:rPr>
          <w:b/>
          <w:color w:val="000000"/>
        </w:rPr>
        <w:t xml:space="preserve"> для применения в проточных аккумуляторах</w:t>
      </w:r>
    </w:p>
    <w:p w14:paraId="00000002" w14:textId="7C7E4F2C" w:rsidR="00130241" w:rsidRDefault="005E01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E01D5">
        <w:rPr>
          <w:b/>
          <w:i/>
          <w:color w:val="000000"/>
        </w:rPr>
        <w:t>Николенко А.Д.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proofErr w:type="spellStart"/>
      <w:r w:rsidRPr="005E01D5">
        <w:rPr>
          <w:b/>
          <w:i/>
          <w:color w:val="000000"/>
        </w:rPr>
        <w:t>Иноземцева</w:t>
      </w:r>
      <w:proofErr w:type="spellEnd"/>
      <w:r>
        <w:rPr>
          <w:b/>
          <w:i/>
          <w:color w:val="000000"/>
        </w:rPr>
        <w:t xml:space="preserve"> А.И.</w:t>
      </w:r>
      <w:r w:rsidRPr="005E01D5">
        <w:rPr>
          <w:b/>
          <w:i/>
          <w:color w:val="000000"/>
          <w:vertAlign w:val="superscript"/>
        </w:rPr>
        <w:t>1,2</w:t>
      </w:r>
      <w:r w:rsidRPr="005E01D5">
        <w:rPr>
          <w:b/>
          <w:i/>
          <w:color w:val="000000"/>
        </w:rPr>
        <w:t>, Назаров М.А.</w:t>
      </w:r>
      <w:r>
        <w:rPr>
          <w:b/>
          <w:i/>
          <w:color w:val="000000"/>
          <w:vertAlign w:val="superscript"/>
        </w:rPr>
        <w:t>1</w:t>
      </w:r>
      <w:r w:rsidRPr="005E01D5">
        <w:rPr>
          <w:b/>
          <w:i/>
          <w:color w:val="000000"/>
        </w:rPr>
        <w:t>,</w:t>
      </w:r>
      <w:r w:rsidR="006264B6">
        <w:rPr>
          <w:b/>
          <w:i/>
          <w:color w:val="000000"/>
        </w:rPr>
        <w:t xml:space="preserve"> </w:t>
      </w:r>
      <w:proofErr w:type="spellStart"/>
      <w:r w:rsidR="006264B6">
        <w:rPr>
          <w:b/>
          <w:i/>
          <w:color w:val="000000"/>
        </w:rPr>
        <w:t>Жванская</w:t>
      </w:r>
      <w:proofErr w:type="spellEnd"/>
      <w:r w:rsidR="006264B6">
        <w:rPr>
          <w:b/>
          <w:i/>
          <w:color w:val="000000"/>
        </w:rPr>
        <w:t xml:space="preserve"> Е.</w:t>
      </w:r>
      <w:r w:rsidR="007F70E8">
        <w:rPr>
          <w:b/>
          <w:i/>
          <w:color w:val="000000"/>
        </w:rPr>
        <w:t>С.</w:t>
      </w:r>
      <w:r w:rsidR="007F70E8">
        <w:rPr>
          <w:b/>
          <w:i/>
          <w:color w:val="000000"/>
          <w:vertAlign w:val="superscript"/>
        </w:rPr>
        <w:t>1</w:t>
      </w:r>
      <w:r w:rsidR="007F70E8">
        <w:rPr>
          <w:b/>
          <w:i/>
          <w:color w:val="000000"/>
        </w:rPr>
        <w:t>,</w:t>
      </w:r>
      <w:r w:rsidRPr="005E01D5">
        <w:rPr>
          <w:b/>
          <w:i/>
          <w:color w:val="000000"/>
        </w:rPr>
        <w:t xml:space="preserve"> Иткис Д.М.</w:t>
      </w:r>
      <w:r>
        <w:rPr>
          <w:b/>
          <w:i/>
          <w:color w:val="000000"/>
          <w:vertAlign w:val="superscript"/>
        </w:rPr>
        <w:t>2</w:t>
      </w:r>
      <w:r w:rsidRPr="005E01D5">
        <w:rPr>
          <w:b/>
          <w:i/>
          <w:color w:val="000000"/>
        </w:rPr>
        <w:t xml:space="preserve">, </w:t>
      </w:r>
      <w:proofErr w:type="spellStart"/>
      <w:r w:rsidRPr="005E01D5">
        <w:rPr>
          <w:b/>
          <w:i/>
          <w:color w:val="000000"/>
        </w:rPr>
        <w:t>Кожунова</w:t>
      </w:r>
      <w:proofErr w:type="spellEnd"/>
      <w:r w:rsidRPr="005E01D5">
        <w:rPr>
          <w:b/>
          <w:i/>
          <w:color w:val="000000"/>
        </w:rPr>
        <w:t xml:space="preserve"> Е.Ю.</w:t>
      </w:r>
      <w:r>
        <w:rPr>
          <w:b/>
          <w:i/>
          <w:color w:val="000000"/>
          <w:vertAlign w:val="superscript"/>
        </w:rPr>
        <w:t>1</w:t>
      </w:r>
      <w:r w:rsidRPr="005E01D5">
        <w:rPr>
          <w:b/>
          <w:i/>
          <w:color w:val="000000"/>
          <w:vertAlign w:val="superscript"/>
        </w:rPr>
        <w:t>,</w:t>
      </w:r>
      <w:r w:rsidRPr="005E01D5">
        <w:rPr>
          <w:b/>
          <w:i/>
          <w:color w:val="000000"/>
        </w:rPr>
        <w:t xml:space="preserve"> </w:t>
      </w:r>
      <w:r w:rsidRPr="005E01D5">
        <w:rPr>
          <w:b/>
          <w:i/>
          <w:color w:val="000000"/>
          <w:vertAlign w:val="superscript"/>
        </w:rPr>
        <w:t>3</w:t>
      </w:r>
    </w:p>
    <w:p w14:paraId="00000003" w14:textId="7595F0D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5E01D5">
        <w:rPr>
          <w:i/>
          <w:color w:val="000000"/>
        </w:rPr>
        <w:t>бакалавриата</w:t>
      </w:r>
      <w:proofErr w:type="spellEnd"/>
      <w:r>
        <w:rPr>
          <w:i/>
          <w:color w:val="000000"/>
        </w:rPr>
        <w:t xml:space="preserve"> </w:t>
      </w:r>
      <w:bookmarkStart w:id="0" w:name="_GoBack"/>
      <w:bookmarkEnd w:id="0"/>
    </w:p>
    <w:p w14:paraId="1A33ECDA" w14:textId="658A3EC2" w:rsidR="005E01D5" w:rsidRDefault="005E01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  <w:vertAlign w:val="superscript"/>
        </w:rPr>
        <w:t>1</w:t>
      </w:r>
      <w:r w:rsidRPr="005E01D5">
        <w:rPr>
          <w:color w:val="000000"/>
        </w:rPr>
        <w:t xml:space="preserve">Московский государственный университет им. М.В. Ломоносова </w:t>
      </w:r>
    </w:p>
    <w:p w14:paraId="0166CBE2" w14:textId="6D606C55" w:rsidR="005E01D5" w:rsidRDefault="005E01D5" w:rsidP="005E01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  <w:vertAlign w:val="superscript"/>
        </w:rPr>
        <w:t>2</w:t>
      </w:r>
      <w:r w:rsidRPr="005E01D5">
        <w:rPr>
          <w:color w:val="000000"/>
        </w:rPr>
        <w:t xml:space="preserve">Федеральный исследовательский центр химической физики им. Н.Н. </w:t>
      </w:r>
      <w:proofErr w:type="spellStart"/>
      <w:r w:rsidRPr="005E01D5">
        <w:rPr>
          <w:color w:val="000000"/>
        </w:rPr>
        <w:t>Семёнова</w:t>
      </w:r>
      <w:proofErr w:type="spellEnd"/>
      <w:r w:rsidRPr="005E01D5">
        <w:rPr>
          <w:color w:val="000000"/>
        </w:rPr>
        <w:t xml:space="preserve"> РАН </w:t>
      </w:r>
    </w:p>
    <w:p w14:paraId="1446286D" w14:textId="610B9EEC" w:rsidR="005E01D5" w:rsidRDefault="005E01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E01D5">
        <w:rPr>
          <w:color w:val="000000"/>
          <w:vertAlign w:val="superscript"/>
        </w:rPr>
        <w:t>3</w:t>
      </w:r>
      <w:r w:rsidRPr="005E01D5">
        <w:rPr>
          <w:color w:val="000000"/>
        </w:rPr>
        <w:t>Институт элементоорганических соединений им. А.Н. Несмеянова Российской академии наук</w:t>
      </w:r>
    </w:p>
    <w:p w14:paraId="00000008" w14:textId="37680AE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F16122" w:rsidRPr="00F16122">
        <w:rPr>
          <w:i/>
          <w:color w:val="000000"/>
          <w:u w:val="single"/>
          <w:lang w:val="en-US"/>
        </w:rPr>
        <w:t>nikolenko</w:t>
      </w:r>
      <w:proofErr w:type="spellEnd"/>
      <w:r w:rsidR="00F16122" w:rsidRPr="00F16122">
        <w:rPr>
          <w:i/>
          <w:color w:val="000000"/>
          <w:u w:val="single"/>
        </w:rPr>
        <w:t>2001@</w:t>
      </w:r>
      <w:r w:rsidR="00F16122" w:rsidRPr="00F16122">
        <w:rPr>
          <w:i/>
          <w:color w:val="000000"/>
          <w:u w:val="single"/>
          <w:lang w:val="en-US"/>
        </w:rPr>
        <w:t>list</w:t>
      </w:r>
      <w:r w:rsidR="00F16122" w:rsidRPr="00F16122">
        <w:rPr>
          <w:i/>
          <w:color w:val="000000"/>
          <w:u w:val="single"/>
        </w:rPr>
        <w:t>.</w:t>
      </w:r>
      <w:proofErr w:type="spellStart"/>
      <w:r w:rsidR="00F16122" w:rsidRPr="00F16122">
        <w:rPr>
          <w:i/>
          <w:color w:val="000000"/>
          <w:u w:val="single"/>
        </w:rPr>
        <w:t>ru</w:t>
      </w:r>
      <w:proofErr w:type="spellEnd"/>
      <w:r>
        <w:rPr>
          <w:i/>
          <w:color w:val="000000"/>
        </w:rPr>
        <w:t xml:space="preserve"> </w:t>
      </w:r>
    </w:p>
    <w:p w14:paraId="3E90222A" w14:textId="69515886" w:rsidR="00FF1903" w:rsidRDefault="001B3B25" w:rsidP="001B3B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B3B25">
        <w:rPr>
          <w:color w:val="000000"/>
        </w:rPr>
        <w:t xml:space="preserve">На данный момент проточные аккумуляторы являются одними из перспективных устройств для использования в крупных стационарных системах хранения энергии, благодаря их масштабируемости и относительно низкой стоимости. В настоящее время в области разработки проточных аккумуляторов наблюдается тенденция перехода от традиционных неорганических </w:t>
      </w:r>
      <w:proofErr w:type="spellStart"/>
      <w:r w:rsidRPr="001B3B25">
        <w:rPr>
          <w:color w:val="000000"/>
        </w:rPr>
        <w:t>редокс</w:t>
      </w:r>
      <w:proofErr w:type="spellEnd"/>
      <w:r w:rsidRPr="001B3B25">
        <w:rPr>
          <w:color w:val="000000"/>
        </w:rPr>
        <w:t xml:space="preserve">-систем (например, на основе ванадия или цинка) к усовершенствованным органическим системам [1]. </w:t>
      </w:r>
    </w:p>
    <w:p w14:paraId="0AD14C03" w14:textId="4B8C882F" w:rsidR="001B3B25" w:rsidRDefault="001B3B25" w:rsidP="001B3B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B3B25">
        <w:rPr>
          <w:color w:val="000000"/>
        </w:rPr>
        <w:t xml:space="preserve">Как известно, применение в проточных аккумуляторах низкомолекулярных </w:t>
      </w:r>
      <w:proofErr w:type="spellStart"/>
      <w:r w:rsidRPr="001B3B25">
        <w:rPr>
          <w:color w:val="000000"/>
        </w:rPr>
        <w:t>редокс</w:t>
      </w:r>
      <w:proofErr w:type="spellEnd"/>
      <w:r w:rsidRPr="001B3B25">
        <w:rPr>
          <w:color w:val="000000"/>
        </w:rPr>
        <w:t>-активных компонентов сопряжено с использованием дорогостоящих ионообменных мембран для предотвращения саморазряда аккумулятора вследствие</w:t>
      </w:r>
      <w:r w:rsidR="001334E9">
        <w:rPr>
          <w:color w:val="000000"/>
        </w:rPr>
        <w:t xml:space="preserve"> эффекта </w:t>
      </w:r>
      <w:proofErr w:type="spellStart"/>
      <w:r w:rsidR="001334E9">
        <w:rPr>
          <w:color w:val="000000"/>
        </w:rPr>
        <w:t>кроссовера</w:t>
      </w:r>
      <w:proofErr w:type="spellEnd"/>
      <w:r w:rsidR="001334E9">
        <w:rPr>
          <w:color w:val="000000"/>
        </w:rPr>
        <w:t>. И</w:t>
      </w:r>
      <w:r w:rsidRPr="001B3B25">
        <w:rPr>
          <w:color w:val="000000"/>
        </w:rPr>
        <w:t xml:space="preserve">спользование высокомолекулярных (полимерных) систем с «пришитыми» </w:t>
      </w:r>
      <w:proofErr w:type="spellStart"/>
      <w:r w:rsidRPr="001B3B25">
        <w:rPr>
          <w:color w:val="000000"/>
        </w:rPr>
        <w:t>редокс</w:t>
      </w:r>
      <w:proofErr w:type="spellEnd"/>
      <w:r w:rsidRPr="001B3B25">
        <w:rPr>
          <w:color w:val="000000"/>
        </w:rPr>
        <w:t>-активными группами позволяет существенно снизить требования к материалам мембраны, вплоть до использования диализных мембран с субмикронными или даже микропорами [2]. Основным недостатком такого подхода является высокая вязкость растворов полимера даже при низких концентрациях.</w:t>
      </w:r>
    </w:p>
    <w:p w14:paraId="358BAF03" w14:textId="529418A4" w:rsidR="001B3B25" w:rsidRDefault="001B3B25" w:rsidP="001B3B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B3B25">
        <w:rPr>
          <w:color w:val="000000"/>
        </w:rPr>
        <w:t xml:space="preserve">В данной работе предложен подход, предполагающий использование в качестве </w:t>
      </w:r>
      <w:proofErr w:type="spellStart"/>
      <w:r w:rsidRPr="001B3B25">
        <w:rPr>
          <w:color w:val="000000"/>
        </w:rPr>
        <w:t>редокс</w:t>
      </w:r>
      <w:proofErr w:type="spellEnd"/>
      <w:r w:rsidRPr="001B3B25">
        <w:rPr>
          <w:color w:val="000000"/>
        </w:rPr>
        <w:t xml:space="preserve">-активных систем слабо сшитых полимерных сеток субмикронного размера (т.н. </w:t>
      </w:r>
      <w:proofErr w:type="spellStart"/>
      <w:r w:rsidRPr="001B3B25">
        <w:rPr>
          <w:color w:val="000000"/>
        </w:rPr>
        <w:t>микрогелей</w:t>
      </w:r>
      <w:proofErr w:type="spellEnd"/>
      <w:r w:rsidRPr="001B3B25">
        <w:rPr>
          <w:color w:val="000000"/>
        </w:rPr>
        <w:t xml:space="preserve">). Такие системы обладают низкой вязкостью, характерной для </w:t>
      </w:r>
      <w:proofErr w:type="spellStart"/>
      <w:r w:rsidRPr="001B3B25">
        <w:rPr>
          <w:color w:val="000000"/>
        </w:rPr>
        <w:t>мицеллярных</w:t>
      </w:r>
      <w:proofErr w:type="spellEnd"/>
      <w:r w:rsidRPr="001B3B25">
        <w:rPr>
          <w:color w:val="000000"/>
        </w:rPr>
        <w:t xml:space="preserve"> или коллоидных растворов, в то время как концентрации </w:t>
      </w:r>
      <w:proofErr w:type="spellStart"/>
      <w:r w:rsidRPr="001B3B25">
        <w:rPr>
          <w:color w:val="000000"/>
        </w:rPr>
        <w:t>редокс</w:t>
      </w:r>
      <w:proofErr w:type="spellEnd"/>
      <w:r w:rsidRPr="001B3B25">
        <w:rPr>
          <w:color w:val="000000"/>
        </w:rPr>
        <w:t xml:space="preserve">-активных групп могут быть такими же высокими, как и для линейных полимерных систем. </w:t>
      </w:r>
    </w:p>
    <w:p w14:paraId="32686E72" w14:textId="39E5F002" w:rsidR="001B3B25" w:rsidRPr="001B3B25" w:rsidRDefault="001B3B25" w:rsidP="001B3B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B3B25">
        <w:rPr>
          <w:color w:val="000000"/>
        </w:rPr>
        <w:t xml:space="preserve">В настоящей работе мы исследуем электрохимические свойства </w:t>
      </w:r>
      <w:proofErr w:type="spellStart"/>
      <w:r w:rsidRPr="001B3B25">
        <w:rPr>
          <w:color w:val="000000"/>
        </w:rPr>
        <w:t>микрогелей</w:t>
      </w:r>
      <w:proofErr w:type="spellEnd"/>
      <w:r w:rsidRPr="001B3B25">
        <w:rPr>
          <w:color w:val="000000"/>
        </w:rPr>
        <w:t xml:space="preserve"> на основе поли-</w:t>
      </w:r>
      <w:proofErr w:type="spellStart"/>
      <w:r w:rsidRPr="001B3B25">
        <w:rPr>
          <w:color w:val="000000"/>
        </w:rPr>
        <w:t>Nизопропилакриламида</w:t>
      </w:r>
      <w:proofErr w:type="spellEnd"/>
      <w:r w:rsidRPr="001B3B25">
        <w:rPr>
          <w:color w:val="000000"/>
        </w:rPr>
        <w:t xml:space="preserve"> (ПНИПА), модифицированных </w:t>
      </w:r>
      <w:proofErr w:type="spellStart"/>
      <w:r w:rsidRPr="001B3B25">
        <w:rPr>
          <w:color w:val="000000"/>
        </w:rPr>
        <w:t>редокс</w:t>
      </w:r>
      <w:proofErr w:type="spellEnd"/>
      <w:r w:rsidRPr="001B3B25">
        <w:rPr>
          <w:color w:val="000000"/>
        </w:rPr>
        <w:t>-активными группами 4-(3карбоксипро</w:t>
      </w:r>
      <w:r w:rsidR="001334E9">
        <w:rPr>
          <w:color w:val="000000"/>
        </w:rPr>
        <w:t xml:space="preserve">панамидо)-ТЕМПО. По данным ДСР </w:t>
      </w:r>
      <w:r w:rsidRPr="001B3B25">
        <w:rPr>
          <w:color w:val="000000"/>
        </w:rPr>
        <w:t xml:space="preserve">средний </w:t>
      </w:r>
      <w:r w:rsidR="006B031B">
        <w:rPr>
          <w:color w:val="000000"/>
        </w:rPr>
        <w:t>радиус</w:t>
      </w:r>
      <w:r w:rsidR="001334E9">
        <w:rPr>
          <w:color w:val="000000"/>
        </w:rPr>
        <w:t xml:space="preserve"> </w:t>
      </w:r>
      <w:proofErr w:type="spellStart"/>
      <w:r w:rsidR="001334E9">
        <w:rPr>
          <w:color w:val="000000"/>
        </w:rPr>
        <w:t>микрогелей</w:t>
      </w:r>
      <w:proofErr w:type="spellEnd"/>
      <w:r w:rsidRPr="001B3B25">
        <w:rPr>
          <w:color w:val="000000"/>
        </w:rPr>
        <w:t xml:space="preserve"> составляет 50 </w:t>
      </w:r>
      <w:proofErr w:type="spellStart"/>
      <w:r w:rsidRPr="001B3B25">
        <w:rPr>
          <w:color w:val="000000"/>
        </w:rPr>
        <w:t>нм</w:t>
      </w:r>
      <w:proofErr w:type="spellEnd"/>
      <w:r w:rsidR="001334E9">
        <w:rPr>
          <w:color w:val="000000"/>
        </w:rPr>
        <w:t xml:space="preserve"> при достаточно узком распределении</w:t>
      </w:r>
      <w:r w:rsidRPr="001B3B25">
        <w:rPr>
          <w:color w:val="000000"/>
        </w:rPr>
        <w:t xml:space="preserve">. Электрохимические свойства были исследованы в </w:t>
      </w:r>
      <w:proofErr w:type="spellStart"/>
      <w:r w:rsidRPr="001B3B25">
        <w:rPr>
          <w:color w:val="000000"/>
        </w:rPr>
        <w:t>трехэлектродной</w:t>
      </w:r>
      <w:proofErr w:type="spellEnd"/>
      <w:r w:rsidRPr="001B3B25">
        <w:rPr>
          <w:color w:val="000000"/>
        </w:rPr>
        <w:t xml:space="preserve"> электрохимической ячейке на </w:t>
      </w:r>
      <w:proofErr w:type="spellStart"/>
      <w:r w:rsidRPr="001B3B25">
        <w:rPr>
          <w:color w:val="000000"/>
        </w:rPr>
        <w:t>стеклоуглеродном</w:t>
      </w:r>
      <w:proofErr w:type="spellEnd"/>
      <w:r w:rsidRPr="001B3B25">
        <w:rPr>
          <w:color w:val="000000"/>
        </w:rPr>
        <w:t xml:space="preserve"> рабочем электроде, с использованием платинового и хлорсеребряного электродов в качестве вспомогательного электрода и электрода сравнения, соответственно. С помощью методов циклической </w:t>
      </w:r>
      <w:proofErr w:type="spellStart"/>
      <w:r w:rsidRPr="001B3B25">
        <w:rPr>
          <w:color w:val="000000"/>
        </w:rPr>
        <w:t>вольтамперометрии</w:t>
      </w:r>
      <w:proofErr w:type="spellEnd"/>
      <w:r w:rsidRPr="001B3B25">
        <w:rPr>
          <w:color w:val="000000"/>
        </w:rPr>
        <w:t xml:space="preserve"> были определены эффективный коэффициент диффузии частиц </w:t>
      </w:r>
      <w:proofErr w:type="spellStart"/>
      <w:r w:rsidRPr="001B3B25">
        <w:rPr>
          <w:color w:val="000000"/>
        </w:rPr>
        <w:t>микрогеля</w:t>
      </w:r>
      <w:proofErr w:type="spellEnd"/>
      <w:r w:rsidRPr="001B3B25">
        <w:rPr>
          <w:color w:val="000000"/>
        </w:rPr>
        <w:t xml:space="preserve"> и эффективная концентрация </w:t>
      </w:r>
      <w:proofErr w:type="spellStart"/>
      <w:r w:rsidRPr="001B3B25">
        <w:rPr>
          <w:color w:val="000000"/>
        </w:rPr>
        <w:t>редокс</w:t>
      </w:r>
      <w:proofErr w:type="spellEnd"/>
      <w:r w:rsidRPr="001B3B25">
        <w:rPr>
          <w:color w:val="000000"/>
        </w:rPr>
        <w:t>-центров</w:t>
      </w:r>
      <w:r w:rsidR="006B031B">
        <w:rPr>
          <w:color w:val="000000"/>
        </w:rPr>
        <w:t>. Также было показано, что при</w:t>
      </w:r>
      <w:r w:rsidRPr="001B3B25">
        <w:rPr>
          <w:color w:val="000000"/>
        </w:rPr>
        <w:t xml:space="preserve"> иммобилизации </w:t>
      </w:r>
      <w:r w:rsidR="006B031B">
        <w:rPr>
          <w:color w:val="000000"/>
        </w:rPr>
        <w:t xml:space="preserve">системы </w:t>
      </w:r>
      <w:r w:rsidRPr="001B3B25">
        <w:rPr>
          <w:color w:val="000000"/>
        </w:rPr>
        <w:t xml:space="preserve">на частицах </w:t>
      </w:r>
      <w:proofErr w:type="spellStart"/>
      <w:r w:rsidRPr="001B3B25">
        <w:rPr>
          <w:color w:val="000000"/>
        </w:rPr>
        <w:t>микрогеля</w:t>
      </w:r>
      <w:proofErr w:type="spellEnd"/>
      <w:r w:rsidRPr="001B3B25">
        <w:rPr>
          <w:color w:val="000000"/>
        </w:rPr>
        <w:t xml:space="preserve"> возникает эффект слабой специфической адсорбции на электроде, который приводит к переходу от </w:t>
      </w:r>
      <w:proofErr w:type="spellStart"/>
      <w:r w:rsidRPr="001B3B25">
        <w:rPr>
          <w:color w:val="000000"/>
        </w:rPr>
        <w:t>квазиобратимого</w:t>
      </w:r>
      <w:proofErr w:type="spellEnd"/>
      <w:r w:rsidRPr="001B3B25">
        <w:rPr>
          <w:color w:val="000000"/>
        </w:rPr>
        <w:t xml:space="preserve"> переноса электрона к более быстрому обратимому. Полученные данные будут использованы в дальнейшем для изучения механизма переноса электрона на </w:t>
      </w:r>
      <w:proofErr w:type="spellStart"/>
      <w:r w:rsidRPr="001B3B25">
        <w:rPr>
          <w:color w:val="000000"/>
        </w:rPr>
        <w:t>редокс</w:t>
      </w:r>
      <w:proofErr w:type="spellEnd"/>
      <w:r w:rsidRPr="001B3B25">
        <w:rPr>
          <w:color w:val="000000"/>
        </w:rPr>
        <w:t xml:space="preserve">-активную частицу </w:t>
      </w:r>
      <w:proofErr w:type="spellStart"/>
      <w:r w:rsidRPr="001B3B25">
        <w:rPr>
          <w:color w:val="000000"/>
        </w:rPr>
        <w:t>микрогеля</w:t>
      </w:r>
      <w:proofErr w:type="spellEnd"/>
      <w:r w:rsidRPr="001B3B25">
        <w:rPr>
          <w:color w:val="000000"/>
        </w:rPr>
        <w:t>.</w:t>
      </w:r>
    </w:p>
    <w:p w14:paraId="022FC08C" w14:textId="5E81A0DA" w:rsidR="00A02163" w:rsidRPr="001B3B25" w:rsidRDefault="001B3B25" w:rsidP="001B3B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1B3B25">
        <w:rPr>
          <w:i/>
          <w:iCs/>
          <w:color w:val="000000"/>
        </w:rPr>
        <w:t xml:space="preserve">Работа выполнена при поддержке </w:t>
      </w:r>
      <w:proofErr w:type="spellStart"/>
      <w:r w:rsidRPr="001B3B25">
        <w:rPr>
          <w:i/>
          <w:iCs/>
          <w:color w:val="000000"/>
        </w:rPr>
        <w:t>Российского</w:t>
      </w:r>
      <w:proofErr w:type="spellEnd"/>
      <w:r w:rsidRPr="001B3B25">
        <w:rPr>
          <w:i/>
          <w:iCs/>
          <w:color w:val="000000"/>
        </w:rPr>
        <w:t xml:space="preserve"> научного фонда (проект </w:t>
      </w:r>
      <w:proofErr w:type="spellStart"/>
      <w:r w:rsidRPr="001B3B25">
        <w:rPr>
          <w:i/>
          <w:iCs/>
          <w:color w:val="000000"/>
        </w:rPr>
        <w:t>No</w:t>
      </w:r>
      <w:proofErr w:type="spellEnd"/>
      <w:r w:rsidRPr="001B3B25">
        <w:rPr>
          <w:i/>
          <w:iCs/>
          <w:color w:val="000000"/>
        </w:rPr>
        <w:t xml:space="preserve"> 22-13-00115).</w:t>
      </w:r>
    </w:p>
    <w:p w14:paraId="0000000E" w14:textId="77777777" w:rsidR="00130241" w:rsidRPr="001B3B2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CF60037" w14:textId="6EB2646B" w:rsidR="001B3B25" w:rsidRDefault="001B3B25" w:rsidP="001B3B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1.</w:t>
      </w:r>
      <w:r w:rsidRPr="001B3B25">
        <w:rPr>
          <w:color w:val="000000"/>
          <w:lang w:val="en-US"/>
        </w:rPr>
        <w:t xml:space="preserve"> </w:t>
      </w:r>
      <w:proofErr w:type="spellStart"/>
      <w:r w:rsidRPr="001B3B25">
        <w:rPr>
          <w:color w:val="000000"/>
          <w:lang w:val="en-US"/>
        </w:rPr>
        <w:t>Gentil</w:t>
      </w:r>
      <w:proofErr w:type="spellEnd"/>
      <w:r w:rsidRPr="001B3B25">
        <w:rPr>
          <w:color w:val="000000"/>
          <w:lang w:val="en-US"/>
        </w:rPr>
        <w:t xml:space="preserve">, S.; Reynard, D.; </w:t>
      </w:r>
      <w:proofErr w:type="spellStart"/>
      <w:r w:rsidRPr="001B3B25">
        <w:rPr>
          <w:color w:val="000000"/>
          <w:lang w:val="en-US"/>
        </w:rPr>
        <w:t>Girault</w:t>
      </w:r>
      <w:proofErr w:type="spellEnd"/>
      <w:r w:rsidRPr="001B3B25">
        <w:rPr>
          <w:color w:val="000000"/>
          <w:lang w:val="en-US"/>
        </w:rPr>
        <w:t xml:space="preserve">, H. H. Aqueous Organic and Redox-Mediated Redox Flow Batteries: A Review. </w:t>
      </w:r>
      <w:proofErr w:type="spellStart"/>
      <w:r w:rsidRPr="001B3B25">
        <w:rPr>
          <w:color w:val="000000"/>
          <w:lang w:val="en-US"/>
        </w:rPr>
        <w:t>Curr</w:t>
      </w:r>
      <w:proofErr w:type="spellEnd"/>
      <w:r w:rsidRPr="001B3B25">
        <w:rPr>
          <w:color w:val="000000"/>
          <w:lang w:val="en-US"/>
        </w:rPr>
        <w:t xml:space="preserve">. </w:t>
      </w:r>
      <w:proofErr w:type="spellStart"/>
      <w:r w:rsidRPr="001B3B25">
        <w:rPr>
          <w:color w:val="000000"/>
          <w:lang w:val="en-US"/>
        </w:rPr>
        <w:t>Opin</w:t>
      </w:r>
      <w:proofErr w:type="spellEnd"/>
      <w:r w:rsidRPr="001B3B25">
        <w:rPr>
          <w:color w:val="000000"/>
          <w:lang w:val="en-US"/>
        </w:rPr>
        <w:t xml:space="preserve">. </w:t>
      </w:r>
      <w:proofErr w:type="spellStart"/>
      <w:r w:rsidRPr="001B3B25">
        <w:rPr>
          <w:color w:val="000000"/>
          <w:lang w:val="en-US"/>
        </w:rPr>
        <w:t>Electrochem</w:t>
      </w:r>
      <w:proofErr w:type="spellEnd"/>
      <w:r w:rsidRPr="001B3B25">
        <w:rPr>
          <w:color w:val="000000"/>
          <w:lang w:val="en-US"/>
        </w:rPr>
        <w:t xml:space="preserve">. 2020, 21, 7−13. </w:t>
      </w:r>
    </w:p>
    <w:p w14:paraId="515636E6" w14:textId="32CF382D" w:rsidR="001B3B25" w:rsidRPr="001B3B25" w:rsidRDefault="001B3B25" w:rsidP="001B3B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2.</w:t>
      </w:r>
      <w:r w:rsidRPr="001B3B25">
        <w:rPr>
          <w:color w:val="000000"/>
          <w:lang w:val="en-US"/>
        </w:rPr>
        <w:t xml:space="preserve"> </w:t>
      </w:r>
      <w:proofErr w:type="spellStart"/>
      <w:r w:rsidRPr="001B3B25">
        <w:rPr>
          <w:color w:val="000000"/>
          <w:lang w:val="en-US"/>
        </w:rPr>
        <w:t>Sukegawa</w:t>
      </w:r>
      <w:proofErr w:type="spellEnd"/>
      <w:r w:rsidRPr="001B3B25">
        <w:rPr>
          <w:color w:val="000000"/>
          <w:lang w:val="en-US"/>
        </w:rPr>
        <w:t xml:space="preserve">, T.; </w:t>
      </w:r>
      <w:proofErr w:type="spellStart"/>
      <w:r w:rsidRPr="001B3B25">
        <w:rPr>
          <w:color w:val="000000"/>
          <w:lang w:val="en-US"/>
        </w:rPr>
        <w:t>Masuko</w:t>
      </w:r>
      <w:proofErr w:type="spellEnd"/>
      <w:r w:rsidRPr="001B3B25">
        <w:rPr>
          <w:color w:val="000000"/>
          <w:lang w:val="en-US"/>
        </w:rPr>
        <w:t xml:space="preserve">, I.; Oyaizu, K.; </w:t>
      </w:r>
      <w:proofErr w:type="spellStart"/>
      <w:r w:rsidRPr="001B3B25">
        <w:rPr>
          <w:color w:val="000000"/>
          <w:lang w:val="en-US"/>
        </w:rPr>
        <w:t>Nishide</w:t>
      </w:r>
      <w:proofErr w:type="spellEnd"/>
      <w:r w:rsidRPr="001B3B25">
        <w:rPr>
          <w:color w:val="000000"/>
          <w:lang w:val="en-US"/>
        </w:rPr>
        <w:t>, H. Expanding the Dimensionality of Polymers Populated with Organic Robust Radicals toward Flow Cell Application: Synthesis of TEMPO-Crowded Bottlebrush Polymers Using Anionic Polymerization and ROMP. Macromolecules 2014, 47 (24), 8611−8617.</w:t>
      </w:r>
    </w:p>
    <w:sectPr w:rsidR="001B3B25" w:rsidRPr="001B3B25" w:rsidSect="00F1612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334E9"/>
    <w:rsid w:val="001B3B25"/>
    <w:rsid w:val="001E61C2"/>
    <w:rsid w:val="001F0493"/>
    <w:rsid w:val="002264EE"/>
    <w:rsid w:val="0023307C"/>
    <w:rsid w:val="0031361E"/>
    <w:rsid w:val="00391C38"/>
    <w:rsid w:val="003A3236"/>
    <w:rsid w:val="003B76D6"/>
    <w:rsid w:val="004A26A3"/>
    <w:rsid w:val="004F0EDF"/>
    <w:rsid w:val="00522BF1"/>
    <w:rsid w:val="00590166"/>
    <w:rsid w:val="005E01D5"/>
    <w:rsid w:val="006264B6"/>
    <w:rsid w:val="00635C4F"/>
    <w:rsid w:val="006B031B"/>
    <w:rsid w:val="006F7A19"/>
    <w:rsid w:val="00775389"/>
    <w:rsid w:val="00797838"/>
    <w:rsid w:val="007C36D8"/>
    <w:rsid w:val="007F2744"/>
    <w:rsid w:val="007F70E8"/>
    <w:rsid w:val="008931BE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16122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EF56AD-2E8F-4534-AF2B-8A2B71228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Николенко Анатолий</cp:lastModifiedBy>
  <cp:revision>9</cp:revision>
  <dcterms:created xsi:type="dcterms:W3CDTF">2022-11-07T09:18:00Z</dcterms:created>
  <dcterms:modified xsi:type="dcterms:W3CDTF">2023-03-02T16:26:00Z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