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7EC2" w14:textId="77777777" w:rsidR="00AA1CA8" w:rsidRDefault="00B75045">
      <w:pPr>
        <w:jc w:val="center"/>
        <w:rPr>
          <w:b/>
          <w:bCs/>
        </w:rPr>
      </w:pPr>
      <w:r>
        <w:rPr>
          <w:b/>
        </w:rPr>
        <w:t>«Зеленый» электрохимический синтез оксида графена с использованием ультразвуковых зондов</w:t>
      </w:r>
      <w:r>
        <w:rPr>
          <w:b/>
          <w:sz w:val="28"/>
          <w:szCs w:val="28"/>
        </w:rPr>
        <w:t>:</w:t>
      </w:r>
      <w:r>
        <w:rPr>
          <w:b/>
        </w:rPr>
        <w:t xml:space="preserve"> спектральные характеристики продукта</w:t>
      </w:r>
    </w:p>
    <w:p w14:paraId="115F848A" w14:textId="374086C3" w:rsidR="00AA1CA8" w:rsidRPr="00EE7C53" w:rsidRDefault="00B75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  <w:highlight w:val="yellow"/>
          <w:vertAlign w:val="superscript"/>
        </w:rPr>
      </w:pPr>
      <w:r>
        <w:rPr>
          <w:b/>
          <w:i/>
          <w:color w:val="000000"/>
        </w:rPr>
        <w:t>Ратова Д.-М.В.,</w:t>
      </w:r>
      <w:r>
        <w:rPr>
          <w:b/>
          <w:i/>
          <w:color w:val="000000"/>
          <w:vertAlign w:val="superscript"/>
        </w:rPr>
        <w:t>1</w:t>
      </w:r>
      <w:r w:rsidR="00EE7C53">
        <w:rPr>
          <w:b/>
          <w:i/>
          <w:color w:val="000000"/>
        </w:rPr>
        <w:t xml:space="preserve"> </w:t>
      </w:r>
      <w:proofErr w:type="spellStart"/>
      <w:r w:rsidR="00EE7C53">
        <w:rPr>
          <w:b/>
          <w:i/>
          <w:color w:val="000000"/>
        </w:rPr>
        <w:t>Чермашенцев</w:t>
      </w:r>
      <w:proofErr w:type="spellEnd"/>
      <w:r w:rsidR="00EE7C53">
        <w:rPr>
          <w:b/>
          <w:i/>
          <w:color w:val="000000"/>
        </w:rPr>
        <w:t xml:space="preserve"> Г.Р</w:t>
      </w:r>
      <w:r w:rsidR="00EE7C53">
        <w:rPr>
          <w:b/>
          <w:i/>
          <w:color w:val="000000"/>
          <w:vertAlign w:val="superscript"/>
        </w:rPr>
        <w:t>1</w:t>
      </w:r>
    </w:p>
    <w:p w14:paraId="186C4E1E" w14:textId="77777777" w:rsidR="00AA1CA8" w:rsidRDefault="00B75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DFDA048" w14:textId="77777777" w:rsidR="00AA1CA8" w:rsidRDefault="00B75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55FA934A" w14:textId="77777777" w:rsidR="00AA1CA8" w:rsidRDefault="00B75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8F17360" w14:textId="77777777" w:rsidR="00AA1CA8" w:rsidRDefault="00B75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8" w:tooltip="mailto:darmarrat@gmail.com" w:history="1">
        <w:r>
          <w:rPr>
            <w:rStyle w:val="afb"/>
            <w:i/>
            <w:lang w:val="en-US"/>
          </w:rPr>
          <w:t>darmarrat</w:t>
        </w:r>
        <w:r>
          <w:rPr>
            <w:rStyle w:val="afb"/>
            <w:i/>
          </w:rPr>
          <w:t>@</w:t>
        </w:r>
        <w:r>
          <w:rPr>
            <w:rStyle w:val="afb"/>
            <w:i/>
            <w:lang w:val="en-US"/>
          </w:rPr>
          <w:t>gmail</w:t>
        </w:r>
        <w:r>
          <w:rPr>
            <w:rStyle w:val="afb"/>
            <w:i/>
          </w:rPr>
          <w:t>.</w:t>
        </w:r>
        <w:r>
          <w:rPr>
            <w:rStyle w:val="afb"/>
            <w:i/>
            <w:lang w:val="en-US"/>
          </w:rPr>
          <w:t>com</w:t>
        </w:r>
      </w:hyperlink>
    </w:p>
    <w:p w14:paraId="31E3D629" w14:textId="7E3F261A" w:rsidR="00AA1CA8" w:rsidRDefault="00B75045">
      <w:pPr>
        <w:ind w:firstLine="397"/>
        <w:jc w:val="both"/>
      </w:pPr>
      <w:r>
        <w:t>Оксид графена (ОГ) представляет собой углеродный мате</w:t>
      </w:r>
      <w:r>
        <w:t xml:space="preserve">риал на основе графена, состоящий из </w:t>
      </w:r>
      <w:proofErr w:type="spellStart"/>
      <w:r>
        <w:rPr>
          <w:i/>
          <w:iCs/>
          <w:lang w:val="en-US"/>
        </w:rPr>
        <w:t>sp</w:t>
      </w:r>
      <w:proofErr w:type="spellEnd"/>
      <w:r>
        <w:rPr>
          <w:vertAlign w:val="superscript"/>
        </w:rPr>
        <w:t>2</w:t>
      </w:r>
      <w:r>
        <w:t xml:space="preserve"> кластеров, окруженных </w:t>
      </w:r>
      <w:proofErr w:type="spellStart"/>
      <w:r>
        <w:rPr>
          <w:i/>
          <w:iCs/>
          <w:lang w:val="en-US"/>
        </w:rPr>
        <w:t>sp</w:t>
      </w:r>
      <w:proofErr w:type="spellEnd"/>
      <w:r>
        <w:rPr>
          <w:vertAlign w:val="superscript"/>
        </w:rPr>
        <w:t>3</w:t>
      </w:r>
      <w:r>
        <w:t xml:space="preserve"> атомами углерода, соединенных с кислородосодержащими группами. Благодаря своим уникальным свойствам данный материал вызывает все больший интерес в научном сообществе, так он успешно использ</w:t>
      </w:r>
      <w:r>
        <w:t>уется в электрохимических и биосенсорах. ОГ показывает себя как перспективный материал в обнаружении раковых опухолей</w:t>
      </w:r>
      <w:r w:rsidR="00EB594B">
        <w:t xml:space="preserve"> </w:t>
      </w:r>
      <w:r w:rsidR="00EB594B">
        <w:t>и визуали</w:t>
      </w:r>
      <w:r w:rsidR="00EB594B">
        <w:t>зации</w:t>
      </w:r>
      <w:r w:rsidR="00EB594B">
        <w:t xml:space="preserve"> раковы</w:t>
      </w:r>
      <w:r w:rsidR="00EB594B">
        <w:t>х</w:t>
      </w:r>
      <w:r w:rsidR="00EB594B">
        <w:t xml:space="preserve"> клет</w:t>
      </w:r>
      <w:r w:rsidR="00EB594B">
        <w:t>ок</w:t>
      </w:r>
      <w:r w:rsidR="00EB594B">
        <w:t xml:space="preserve">, например использование </w:t>
      </w:r>
      <w:proofErr w:type="spellStart"/>
      <w:r w:rsidR="00EB594B">
        <w:t>нанолистов</w:t>
      </w:r>
      <w:proofErr w:type="spellEnd"/>
      <w:r w:rsidR="00EB594B">
        <w:t xml:space="preserve"> </w:t>
      </w:r>
      <w:r w:rsidR="00EB594B">
        <w:t>ОГ</w:t>
      </w:r>
      <w:r w:rsidR="00EB594B">
        <w:t xml:space="preserve"> </w:t>
      </w:r>
      <w:r w:rsidR="00EB594B">
        <w:rPr>
          <w:i/>
          <w:iCs/>
          <w:lang w:val="en-US"/>
        </w:rPr>
        <w:t>in</w:t>
      </w:r>
      <w:r w:rsidR="00EB594B">
        <w:rPr>
          <w:i/>
          <w:iCs/>
        </w:rPr>
        <w:t xml:space="preserve"> </w:t>
      </w:r>
      <w:r w:rsidR="00EB594B">
        <w:rPr>
          <w:i/>
          <w:iCs/>
          <w:lang w:val="en-US"/>
        </w:rPr>
        <w:t>vivo</w:t>
      </w:r>
      <w:r>
        <w:t xml:space="preserve">. В настоящее время активно проводят исследования </w:t>
      </w:r>
      <w:proofErr w:type="spellStart"/>
      <w:r>
        <w:t>ферментоподобных</w:t>
      </w:r>
      <w:proofErr w:type="spellEnd"/>
      <w:r>
        <w:t xml:space="preserve"> </w:t>
      </w:r>
      <w:proofErr w:type="spellStart"/>
      <w:r>
        <w:t>нанозимных</w:t>
      </w:r>
      <w:proofErr w:type="spellEnd"/>
      <w:r>
        <w:t xml:space="preserve"> свойств </w:t>
      </w:r>
      <w:r>
        <w:t xml:space="preserve">и использования </w:t>
      </w:r>
      <w:r w:rsidRPr="00EE7C53">
        <w:t>ОГ</w:t>
      </w:r>
      <w:r>
        <w:t xml:space="preserve"> в качестве поглотителей (</w:t>
      </w:r>
      <w:proofErr w:type="spellStart"/>
      <w:r>
        <w:t>скэвендж</w:t>
      </w:r>
      <w:r>
        <w:t>еров</w:t>
      </w:r>
      <w:proofErr w:type="spellEnd"/>
      <w:r>
        <w:t>) биологически значимых свободных радикалов окислительного стресса.</w:t>
      </w:r>
    </w:p>
    <w:p w14:paraId="11646F12" w14:textId="5505D0EA" w:rsidR="00EE7C53" w:rsidRDefault="00EE7C53">
      <w:pPr>
        <w:pStyle w:val="TNM12"/>
        <w:spacing w:line="240" w:lineRule="auto"/>
        <w:ind w:firstLine="397"/>
      </w:pPr>
      <w:r>
        <w:t xml:space="preserve">Цель работы — разработать способ ультразвукового анодного электрохимического окисления графита для получения стабильных дисперсий оксида графена и проверить их антиоксидантную способность в модельных системах методом </w:t>
      </w:r>
      <w:proofErr w:type="spellStart"/>
      <w:r>
        <w:t>хемилюминометрии</w:t>
      </w:r>
      <w:proofErr w:type="spellEnd"/>
      <w:r>
        <w:t>.</w:t>
      </w:r>
    </w:p>
    <w:p w14:paraId="49E71509" w14:textId="51465BFD" w:rsidR="00AA1CA8" w:rsidRDefault="00B75045">
      <w:pPr>
        <w:pStyle w:val="TNM12"/>
        <w:spacing w:line="240" w:lineRule="auto"/>
        <w:ind w:firstLine="397"/>
      </w:pPr>
      <w:r>
        <w:t>Обзор существующих данных по электрохимическому синтезу оксида графена</w:t>
      </w:r>
      <w:r w:rsidR="00EB594B">
        <w:t xml:space="preserve"> (ЭОГ)</w:t>
      </w:r>
      <w:r>
        <w:t xml:space="preserve"> показывает, что подобный подход обладает рядом преимуществ, по сравнению с химическими методами по</w:t>
      </w:r>
      <w:r>
        <w:t xml:space="preserve">лучения: (1) более экологичной и «зеленой» методикой получения, (2) в ходе синтеза преимущественно наблюдают меньшее количество дефектов в структуре и разрывов </w:t>
      </w:r>
      <w:r>
        <w:rPr>
          <w:lang w:val="en-US"/>
        </w:rPr>
        <w:t>C</w:t>
      </w:r>
      <w:r>
        <w:t>–</w:t>
      </w:r>
      <w:r>
        <w:rPr>
          <w:lang w:val="en-US"/>
        </w:rPr>
        <w:t>C</w:t>
      </w:r>
      <w:r>
        <w:t xml:space="preserve"> связей внутри </w:t>
      </w:r>
      <w:proofErr w:type="spellStart"/>
      <w:r>
        <w:t>графеноподобной</w:t>
      </w:r>
      <w:proofErr w:type="spellEnd"/>
      <w:r>
        <w:t xml:space="preserve"> плоскости.</w:t>
      </w:r>
    </w:p>
    <w:p w14:paraId="411ECAE5" w14:textId="0DF4F1EB" w:rsidR="00AA1CA8" w:rsidRDefault="00B75045">
      <w:pPr>
        <w:pStyle w:val="TNM12"/>
        <w:spacing w:line="240" w:lineRule="auto"/>
        <w:ind w:firstLine="397"/>
      </w:pPr>
      <w:r>
        <w:t>В ходе работы, найдены условия анодного электрохими</w:t>
      </w:r>
      <w:r>
        <w:t>ческого получения водных дисперсий оксида графена</w:t>
      </w:r>
      <w:r>
        <w:t xml:space="preserve">, позволяющие получить весьма </w:t>
      </w:r>
      <w:proofErr w:type="spellStart"/>
      <w:r>
        <w:t>седиментационно</w:t>
      </w:r>
      <w:proofErr w:type="spellEnd"/>
      <w:r>
        <w:t xml:space="preserve"> и </w:t>
      </w:r>
      <w:proofErr w:type="spellStart"/>
      <w:r>
        <w:t>агрегационно</w:t>
      </w:r>
      <w:proofErr w:type="spellEnd"/>
      <w:r>
        <w:t xml:space="preserve"> устойчивые дисперсии (&gt;4 месяцев</w:t>
      </w:r>
      <w:r w:rsidR="00EB594B">
        <w:t xml:space="preserve">, </w:t>
      </w:r>
      <w:r w:rsidR="00215FE8">
        <w:t>ζ = 18.7 мВ, размеры частиц 270 и 80 </w:t>
      </w:r>
      <w:proofErr w:type="spellStart"/>
      <w:r w:rsidR="00215FE8">
        <w:t>нм</w:t>
      </w:r>
      <w:proofErr w:type="spellEnd"/>
      <w:r>
        <w:t>). Для этого использовали анодное окисление графита в присутствии электролита с близкой подвижностью ионов 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lang w:val="en-US"/>
        </w:rPr>
        <w:t>O</w:t>
      </w:r>
      <w:r>
        <w:rPr>
          <w:vertAlign w:val="subscript"/>
        </w:rPr>
        <w:t>4</w:t>
      </w:r>
      <w:r>
        <w:t xml:space="preserve"> 1.0 М, постоянное напряжение 30 В и силу тока 90 мА в течение 5 ч, с разделенным катодно</w:t>
      </w:r>
      <w:r>
        <w:noBreakHyphen/>
        <w:t>анодном пространством, с дополнительной ультразвуковой обработкой. Методы спектроскопии ИК-НПВО с преобразованием Фурье, КР, УФ спектроскопии в видимой области подт</w:t>
      </w:r>
      <w:r>
        <w:t>верждают наличие структуры оксида графена (разделенное катодно</w:t>
      </w:r>
      <w:r>
        <w:noBreakHyphen/>
        <w:t>анодное пространство, мембрана 3.5 </w:t>
      </w:r>
      <w:proofErr w:type="spellStart"/>
      <w:r>
        <w:t>кДа</w:t>
      </w:r>
      <w:proofErr w:type="spellEnd"/>
      <w:r>
        <w:t>) и восстановленного оксида графена (разделенное катодно</w:t>
      </w:r>
      <w:r>
        <w:noBreakHyphen/>
        <w:t xml:space="preserve">анодное пространство, солевой мостик 3.5М </w:t>
      </w:r>
      <w:proofErr w:type="spellStart"/>
      <w:r>
        <w:rPr>
          <w:lang w:val="en-US"/>
        </w:rPr>
        <w:t>KCl</w:t>
      </w:r>
      <w:proofErr w:type="spellEnd"/>
      <w:r>
        <w:t>). Морфология и межплоскостные расстояния оценены мет</w:t>
      </w:r>
      <w:r>
        <w:t>одами СЭМ и ПЭМ.</w:t>
      </w:r>
    </w:p>
    <w:p w14:paraId="57948868" w14:textId="7A4CAF8F" w:rsidR="00173A18" w:rsidRPr="00173A18" w:rsidRDefault="00173A18">
      <w:pPr>
        <w:pStyle w:val="TNM12"/>
        <w:spacing w:line="240" w:lineRule="auto"/>
        <w:ind w:firstLine="397"/>
        <w:rPr>
          <w:highlight w:val="yellow"/>
        </w:rPr>
      </w:pPr>
      <w:r>
        <w:rPr>
          <w:color w:val="000000" w:themeColor="text1"/>
        </w:rPr>
        <w:t xml:space="preserve">Дисперсии </w:t>
      </w:r>
      <w:r w:rsidR="00EB594B">
        <w:rPr>
          <w:color w:val="000000" w:themeColor="text1"/>
        </w:rPr>
        <w:t>ЭОГ</w:t>
      </w:r>
      <w:r>
        <w:rPr>
          <w:color w:val="000000" w:themeColor="text1"/>
        </w:rPr>
        <w:t xml:space="preserve"> отделяли от графитовой части путем центрифугирования 15 мл</w:t>
      </w:r>
      <w:r>
        <w:rPr>
          <w:color w:val="000000" w:themeColor="text1"/>
        </w:rPr>
        <w:t xml:space="preserve"> дисперсии в</w:t>
      </w:r>
      <w:r>
        <w:rPr>
          <w:color w:val="000000" w:themeColor="text1"/>
        </w:rPr>
        <w:t xml:space="preserve"> полимерных пробирках (30 мин, 4000 об/мин). Очистку проводили путем диализной обработки в течение 3 </w:t>
      </w:r>
      <w:proofErr w:type="spellStart"/>
      <w:r>
        <w:rPr>
          <w:color w:val="000000" w:themeColor="text1"/>
        </w:rPr>
        <w:t>сут</w:t>
      </w:r>
      <w:proofErr w:type="spellEnd"/>
      <w:r>
        <w:rPr>
          <w:color w:val="000000" w:themeColor="text1"/>
        </w:rPr>
        <w:t xml:space="preserve">. Мембрану предварительно кондиционировали в растворе </w:t>
      </w:r>
      <w:r>
        <w:t>5 </w:t>
      </w:r>
      <w:proofErr w:type="spellStart"/>
      <w:r>
        <w:t>мМ</w:t>
      </w:r>
      <w:proofErr w:type="spellEnd"/>
      <w:r>
        <w:t xml:space="preserve"> ЭДТА и 3%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для удаления металлов.</w:t>
      </w:r>
    </w:p>
    <w:p w14:paraId="0AB0E24F" w14:textId="77777777" w:rsidR="00AA1CA8" w:rsidRDefault="00B75045">
      <w:pPr>
        <w:pStyle w:val="TNM12"/>
        <w:spacing w:line="240" w:lineRule="auto"/>
        <w:ind w:firstLine="397"/>
      </w:pPr>
      <w:r>
        <w:t>Выбраны оптимальным условия работы титанового зонда на основании данных по разрушению материала зонда (оценены методом ИСП-АЭС). Оптимальным соотношением времени импульсной модуляции к времени рел</w:t>
      </w:r>
      <w:r>
        <w:t>аксации (</w:t>
      </w:r>
      <w:r>
        <w:rPr>
          <w:lang w:val="en-US"/>
        </w:rPr>
        <w:t>t</w:t>
      </w:r>
      <w:r>
        <w:rPr>
          <w:vertAlign w:val="subscript"/>
        </w:rPr>
        <w:t>работа</w:t>
      </w:r>
      <w:r>
        <w:t>/</w:t>
      </w:r>
      <w:r>
        <w:rPr>
          <w:lang w:val="en-US"/>
        </w:rPr>
        <w:t>t</w:t>
      </w:r>
      <w:r>
        <w:rPr>
          <w:vertAlign w:val="subscript"/>
        </w:rPr>
        <w:t>отдых</w:t>
      </w:r>
      <w:r>
        <w:t>) является 4/2 с, что соответствует наименьшей степени коррозии УЗ зонда (</w:t>
      </w:r>
      <w:r>
        <w:rPr>
          <w:i/>
          <w:lang w:val="en-US"/>
        </w:rPr>
        <w:t>c</w:t>
      </w:r>
      <w:r>
        <w:t>(</w:t>
      </w:r>
      <w:proofErr w:type="spellStart"/>
      <w:r>
        <w:rPr>
          <w:lang w:val="en-US"/>
        </w:rPr>
        <w:t>Ti</w:t>
      </w:r>
      <w:proofErr w:type="spellEnd"/>
      <w:r>
        <w:t>)=14.3 мг/л), при оптимальной температуре эксперимента (25-30</w:t>
      </w:r>
      <w:r>
        <w:rPr>
          <w:vertAlign w:val="superscript"/>
        </w:rPr>
        <w:t>о</w:t>
      </w:r>
      <w:r>
        <w:rPr>
          <w:lang w:val="en-US"/>
        </w:rPr>
        <w:t>C</w:t>
      </w:r>
      <w:r>
        <w:t>).</w:t>
      </w:r>
    </w:p>
    <w:p w14:paraId="3EE6B735" w14:textId="51AD7AAE" w:rsidR="00AA1CA8" w:rsidRDefault="00B75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</w:pPr>
      <w:r>
        <w:t xml:space="preserve">С помощью метода </w:t>
      </w:r>
      <w:proofErr w:type="spellStart"/>
      <w:r>
        <w:t>хемилюминометрии</w:t>
      </w:r>
      <w:proofErr w:type="spellEnd"/>
      <w:r w:rsidR="00F91330">
        <w:t>: (1)</w:t>
      </w:r>
      <w:r>
        <w:t xml:space="preserve"> в системе </w:t>
      </w:r>
      <w:proofErr w:type="spellStart"/>
      <w:r>
        <w:t>люминол</w:t>
      </w:r>
      <w:proofErr w:type="spellEnd"/>
      <w:r>
        <w:t>/</w:t>
      </w:r>
      <w:proofErr w:type="gramStart"/>
      <w:r>
        <w:rPr>
          <w:lang w:val="en-US"/>
        </w:rPr>
        <w:t>Co</w:t>
      </w:r>
      <w:r>
        <w:t>(</w:t>
      </w:r>
      <w:proofErr w:type="gramEnd"/>
      <w:r>
        <w:rPr>
          <w:lang w:val="en-US"/>
        </w:rPr>
        <w:t>II</w:t>
      </w:r>
      <w:r>
        <w:t>)/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оценены свойства по отношению к супероксид анион радикалу</w:t>
      </w:r>
      <w:r w:rsidR="00F91330">
        <w:t>, показано значительное подавление сигнала</w:t>
      </w:r>
      <w:r>
        <w:t>,</w:t>
      </w:r>
      <w:r w:rsidR="00F91330">
        <w:t xml:space="preserve"> (2)</w:t>
      </w:r>
      <w:r>
        <w:t xml:space="preserve"> также</w:t>
      </w:r>
      <w:r w:rsidR="00F91330">
        <w:t xml:space="preserve"> показано отсутствие </w:t>
      </w:r>
      <w:proofErr w:type="spellStart"/>
      <w:r w:rsidR="00F91330">
        <w:t>индуцирования</w:t>
      </w:r>
      <w:proofErr w:type="spellEnd"/>
      <w:r>
        <w:t xml:space="preserve"> перекисно</w:t>
      </w:r>
      <w:r w:rsidR="00F91330">
        <w:t>го</w:t>
      </w:r>
      <w:r>
        <w:t xml:space="preserve"> окислени</w:t>
      </w:r>
      <w:r w:rsidR="00F91330">
        <w:t>я</w:t>
      </w:r>
      <w:r>
        <w:t xml:space="preserve"> липидов и фосфолипидов</w:t>
      </w:r>
      <w:r w:rsidR="00F91330">
        <w:t xml:space="preserve">, что в перспективе позволит исследовать </w:t>
      </w:r>
      <w:r w:rsidR="00EB594B">
        <w:t>ЭОГ</w:t>
      </w:r>
      <w:r w:rsidR="00F91330">
        <w:t xml:space="preserve"> в биологических моделях </w:t>
      </w:r>
      <w:r w:rsidR="00F91330">
        <w:rPr>
          <w:i/>
          <w:iCs/>
          <w:lang w:val="en-US"/>
        </w:rPr>
        <w:t>in</w:t>
      </w:r>
      <w:r w:rsidR="00F91330" w:rsidRPr="00F91330">
        <w:rPr>
          <w:i/>
          <w:iCs/>
        </w:rPr>
        <w:t xml:space="preserve"> </w:t>
      </w:r>
      <w:r w:rsidR="00F91330">
        <w:rPr>
          <w:i/>
          <w:iCs/>
          <w:lang w:val="en-US"/>
        </w:rPr>
        <w:t>vivo</w:t>
      </w:r>
      <w:r>
        <w:t>.</w:t>
      </w:r>
    </w:p>
    <w:p w14:paraId="527F60FA" w14:textId="44648197" w:rsidR="00AA1CA8" w:rsidRPr="00215FE8" w:rsidRDefault="00F91330" w:rsidP="00215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</w:pPr>
      <w:r w:rsidRPr="00F91330">
        <w:rPr>
          <w:i/>
          <w:iCs/>
        </w:rPr>
        <w:t xml:space="preserve">Работа выполнена при поддержке РФФИ 21-33-70074 </w:t>
      </w:r>
      <w:proofErr w:type="spellStart"/>
      <w:r w:rsidRPr="00F91330">
        <w:rPr>
          <w:i/>
          <w:iCs/>
        </w:rPr>
        <w:t>мол</w:t>
      </w:r>
      <w:r w:rsidRPr="00F91330">
        <w:rPr>
          <w:i/>
          <w:iCs/>
        </w:rPr>
        <w:t>_</w:t>
      </w:r>
      <w:r w:rsidRPr="00F91330">
        <w:rPr>
          <w:i/>
          <w:iCs/>
        </w:rPr>
        <w:t>а</w:t>
      </w:r>
      <w:r w:rsidRPr="00F91330">
        <w:rPr>
          <w:i/>
          <w:iCs/>
        </w:rPr>
        <w:t>_</w:t>
      </w:r>
      <w:r w:rsidRPr="00F91330">
        <w:rPr>
          <w:i/>
          <w:iCs/>
        </w:rPr>
        <w:t>мос</w:t>
      </w:r>
      <w:proofErr w:type="spellEnd"/>
      <w:r w:rsidRPr="00F91330">
        <w:t>.</w:t>
      </w:r>
    </w:p>
    <w:sectPr w:rsidR="00AA1CA8" w:rsidRPr="00215FE8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1F60" w14:textId="77777777" w:rsidR="00B75045" w:rsidRDefault="00B75045">
      <w:r>
        <w:separator/>
      </w:r>
    </w:p>
  </w:endnote>
  <w:endnote w:type="continuationSeparator" w:id="0">
    <w:p w14:paraId="3EB32B2F" w14:textId="77777777" w:rsidR="00B75045" w:rsidRDefault="00B7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C5EA" w14:textId="77777777" w:rsidR="00B75045" w:rsidRDefault="00B75045">
      <w:r>
        <w:separator/>
      </w:r>
    </w:p>
  </w:footnote>
  <w:footnote w:type="continuationSeparator" w:id="0">
    <w:p w14:paraId="30A34DFC" w14:textId="77777777" w:rsidR="00B75045" w:rsidRDefault="00B7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E58"/>
    <w:multiLevelType w:val="hybridMultilevel"/>
    <w:tmpl w:val="904AF67A"/>
    <w:lvl w:ilvl="0" w:tplc="51D6F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6BBBC">
      <w:start w:val="1"/>
      <w:numFmt w:val="lowerLetter"/>
      <w:lvlText w:val="%2."/>
      <w:lvlJc w:val="left"/>
      <w:pPr>
        <w:ind w:left="1440" w:hanging="360"/>
      </w:pPr>
    </w:lvl>
    <w:lvl w:ilvl="2" w:tplc="99D875A4">
      <w:start w:val="1"/>
      <w:numFmt w:val="lowerRoman"/>
      <w:lvlText w:val="%3."/>
      <w:lvlJc w:val="right"/>
      <w:pPr>
        <w:ind w:left="2160" w:hanging="180"/>
      </w:pPr>
    </w:lvl>
    <w:lvl w:ilvl="3" w:tplc="83FCD82A">
      <w:start w:val="1"/>
      <w:numFmt w:val="decimal"/>
      <w:lvlText w:val="%4."/>
      <w:lvlJc w:val="left"/>
      <w:pPr>
        <w:ind w:left="2880" w:hanging="360"/>
      </w:pPr>
    </w:lvl>
    <w:lvl w:ilvl="4" w:tplc="7272DC16">
      <w:start w:val="1"/>
      <w:numFmt w:val="lowerLetter"/>
      <w:lvlText w:val="%5."/>
      <w:lvlJc w:val="left"/>
      <w:pPr>
        <w:ind w:left="3600" w:hanging="360"/>
      </w:pPr>
    </w:lvl>
    <w:lvl w:ilvl="5" w:tplc="BE2E996E">
      <w:start w:val="1"/>
      <w:numFmt w:val="lowerRoman"/>
      <w:lvlText w:val="%6."/>
      <w:lvlJc w:val="right"/>
      <w:pPr>
        <w:ind w:left="4320" w:hanging="180"/>
      </w:pPr>
    </w:lvl>
    <w:lvl w:ilvl="6" w:tplc="AE660D1C">
      <w:start w:val="1"/>
      <w:numFmt w:val="decimal"/>
      <w:lvlText w:val="%7."/>
      <w:lvlJc w:val="left"/>
      <w:pPr>
        <w:ind w:left="5040" w:hanging="360"/>
      </w:pPr>
    </w:lvl>
    <w:lvl w:ilvl="7" w:tplc="6F767912">
      <w:start w:val="1"/>
      <w:numFmt w:val="lowerLetter"/>
      <w:lvlText w:val="%8."/>
      <w:lvlJc w:val="left"/>
      <w:pPr>
        <w:ind w:left="5760" w:hanging="360"/>
      </w:pPr>
    </w:lvl>
    <w:lvl w:ilvl="8" w:tplc="3E78EE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4FDB"/>
    <w:multiLevelType w:val="hybridMultilevel"/>
    <w:tmpl w:val="6F3E221E"/>
    <w:lvl w:ilvl="0" w:tplc="2466AAA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E1B0CC08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138FD8A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23A24882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90E1528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4448DDE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29A637EC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A27C03FA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DEE0CD64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A8"/>
    <w:rsid w:val="00173A18"/>
    <w:rsid w:val="00215FE8"/>
    <w:rsid w:val="00AA1CA8"/>
    <w:rsid w:val="00B75045"/>
    <w:rsid w:val="00EB594B"/>
    <w:rsid w:val="00EE7C53"/>
    <w:rsid w:val="00F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72DA7"/>
  <w15:docId w15:val="{0D8F3E74-C22D-4DE4-B789-C8FAE0FA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NM12">
    <w:name w:val="TNM12"/>
    <w:basedOn w:val="a"/>
    <w:link w:val="TNM120"/>
    <w:qFormat/>
    <w:pPr>
      <w:spacing w:line="360" w:lineRule="auto"/>
      <w:ind w:firstLine="709"/>
      <w:jc w:val="both"/>
    </w:pPr>
    <w:rPr>
      <w:rFonts w:eastAsiaTheme="minorHAnsi"/>
      <w:lang w:eastAsia="en-US"/>
    </w:rPr>
  </w:style>
  <w:style w:type="character" w:customStyle="1" w:styleId="TNM120">
    <w:name w:val="TNM12 Знак"/>
    <w:basedOn w:val="a0"/>
    <w:link w:val="TNM12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marr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2022-11-07T09:18:00Z</dcterms:created>
  <dcterms:modified xsi:type="dcterms:W3CDTF">2023-02-16T15:46:00Z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