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40D" w:rsidRDefault="00B6540D" w:rsidP="00B654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Кинетика и механизм </w:t>
      </w:r>
      <w:proofErr w:type="spellStart"/>
      <w:r>
        <w:rPr>
          <w:b/>
          <w:color w:val="000000"/>
        </w:rPr>
        <w:t>антирадикального</w:t>
      </w:r>
      <w:proofErr w:type="spellEnd"/>
      <w:r>
        <w:rPr>
          <w:b/>
          <w:color w:val="000000"/>
        </w:rPr>
        <w:t xml:space="preserve"> действия фенольно-</w:t>
      </w:r>
      <w:proofErr w:type="spellStart"/>
      <w:r>
        <w:rPr>
          <w:b/>
          <w:color w:val="000000"/>
        </w:rPr>
        <w:t>сахаридных</w:t>
      </w:r>
      <w:proofErr w:type="spellEnd"/>
      <w:r>
        <w:rPr>
          <w:b/>
          <w:color w:val="000000"/>
        </w:rPr>
        <w:t xml:space="preserve"> композиций в водных средах</w:t>
      </w:r>
    </w:p>
    <w:p w:rsidR="00B6540D" w:rsidRDefault="00B6540D" w:rsidP="00B654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Будникова</w:t>
      </w:r>
      <w:proofErr w:type="spellEnd"/>
      <w:r>
        <w:rPr>
          <w:b/>
          <w:i/>
          <w:color w:val="000000"/>
        </w:rPr>
        <w:t xml:space="preserve"> Е.А., Белая Н.И.,</w:t>
      </w:r>
      <w:r>
        <w:rPr>
          <w:b/>
          <w:i/>
          <w:color w:val="000000"/>
          <w:vertAlign w:val="superscript"/>
        </w:rPr>
        <w:t xml:space="preserve"> </w:t>
      </w:r>
      <w:proofErr w:type="gramStart"/>
      <w:r>
        <w:rPr>
          <w:b/>
          <w:i/>
          <w:color w:val="000000"/>
        </w:rPr>
        <w:t>Белый</w:t>
      </w:r>
      <w:proofErr w:type="gramEnd"/>
      <w:r>
        <w:rPr>
          <w:b/>
          <w:i/>
          <w:color w:val="000000"/>
        </w:rPr>
        <w:t xml:space="preserve"> А.В.</w:t>
      </w:r>
    </w:p>
    <w:p w:rsidR="00B6540D" w:rsidRDefault="00B6540D" w:rsidP="00B654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Аспирантка, 1 год обучения</w:t>
      </w:r>
    </w:p>
    <w:p w:rsidR="00B6540D" w:rsidRPr="00391C38" w:rsidRDefault="00B6540D" w:rsidP="00B654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Донецкий национальный университет, химический факультет, Донецк, Россия</w:t>
      </w:r>
    </w:p>
    <w:p w:rsidR="00B6540D" w:rsidRDefault="00B6540D" w:rsidP="00B654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5" w:history="1">
        <w:r w:rsidRPr="00AD0F78">
          <w:rPr>
            <w:rStyle w:val="a3"/>
            <w:i/>
            <w:lang w:val="en-US"/>
          </w:rPr>
          <w:t>bbkatyy</w:t>
        </w:r>
        <w:r w:rsidRPr="00AD0F78">
          <w:rPr>
            <w:rStyle w:val="a3"/>
            <w:i/>
          </w:rPr>
          <w:t>@</w:t>
        </w:r>
        <w:r w:rsidRPr="00AD0F78">
          <w:rPr>
            <w:rStyle w:val="a3"/>
            <w:i/>
            <w:lang w:val="en-US"/>
          </w:rPr>
          <w:t>mail</w:t>
        </w:r>
        <w:r w:rsidRPr="00AD0F78">
          <w:rPr>
            <w:rStyle w:val="a3"/>
            <w:i/>
          </w:rPr>
          <w:t>.</w:t>
        </w:r>
        <w:proofErr w:type="spellStart"/>
        <w:r w:rsidRPr="00AD0F78">
          <w:rPr>
            <w:rStyle w:val="a3"/>
            <w:i/>
            <w:lang w:val="en-US"/>
          </w:rPr>
          <w:t>ru</w:t>
        </w:r>
        <w:proofErr w:type="spellEnd"/>
      </w:hyperlink>
    </w:p>
    <w:p w:rsidR="00B6540D" w:rsidRDefault="00B6540D" w:rsidP="00B6540D">
      <w:pPr>
        <w:ind w:firstLine="397"/>
        <w:contextualSpacing/>
        <w:jc w:val="both"/>
        <w:rPr>
          <w:sz w:val="28"/>
          <w:szCs w:val="28"/>
        </w:rPr>
      </w:pPr>
      <w:r w:rsidRPr="004D6108">
        <w:rPr>
          <w:color w:val="000000"/>
        </w:rPr>
        <w:t>Целью данной работы является исследование кинетики реакци</w:t>
      </w:r>
      <w:r>
        <w:rPr>
          <w:color w:val="000000"/>
        </w:rPr>
        <w:t>и</w:t>
      </w:r>
      <w:r w:rsidRPr="004D6108">
        <w:rPr>
          <w:color w:val="000000"/>
        </w:rPr>
        <w:t xml:space="preserve"> окисления различных групп природных фенолов (</w:t>
      </w:r>
      <w:proofErr w:type="spellStart"/>
      <w:r w:rsidRPr="004D6108">
        <w:rPr>
          <w:color w:val="000000"/>
        </w:rPr>
        <w:t>ArOH</w:t>
      </w:r>
      <w:proofErr w:type="spellEnd"/>
      <w:r w:rsidRPr="004D6108">
        <w:rPr>
          <w:color w:val="000000"/>
        </w:rPr>
        <w:t>) радикалом 2,2ʹ-дифенил-1-пикрилгидразилом (DPPH</w:t>
      </w:r>
      <w:r w:rsidRPr="004D6108">
        <w:rPr>
          <w:color w:val="000000"/>
          <w:vertAlign w:val="superscript"/>
        </w:rPr>
        <w:t>•</w:t>
      </w:r>
      <w:r w:rsidRPr="004D6108">
        <w:rPr>
          <w:color w:val="000000"/>
        </w:rPr>
        <w:t>) в присутствии мон</w:t>
      </w:r>
      <w:proofErr w:type="gramStart"/>
      <w:r w:rsidRPr="004D6108">
        <w:rPr>
          <w:color w:val="000000"/>
        </w:rPr>
        <w:t>о-</w:t>
      </w:r>
      <w:proofErr w:type="gramEnd"/>
      <w:r w:rsidRPr="004D6108">
        <w:rPr>
          <w:color w:val="000000"/>
        </w:rPr>
        <w:t xml:space="preserve"> и олигосахаридов (</w:t>
      </w:r>
      <w:proofErr w:type="spellStart"/>
      <w:r w:rsidRPr="004D6108">
        <w:rPr>
          <w:color w:val="000000"/>
        </w:rPr>
        <w:t>Sacch</w:t>
      </w:r>
      <w:proofErr w:type="spellEnd"/>
      <w:r w:rsidRPr="004D6108">
        <w:rPr>
          <w:color w:val="000000"/>
        </w:rPr>
        <w:t>) в водных средах с разным рН, а также установление эффектов синергизма в изученных фенольно-</w:t>
      </w:r>
      <w:proofErr w:type="spellStart"/>
      <w:r w:rsidRPr="004D6108">
        <w:rPr>
          <w:color w:val="000000"/>
        </w:rPr>
        <w:t>сахаридных</w:t>
      </w:r>
      <w:proofErr w:type="spellEnd"/>
      <w:r w:rsidRPr="004D6108">
        <w:rPr>
          <w:color w:val="000000"/>
        </w:rPr>
        <w:t xml:space="preserve"> композициях.</w:t>
      </w:r>
      <w:bookmarkStart w:id="0" w:name="_Hlk125472860"/>
      <w:r w:rsidRPr="00AB634A">
        <w:rPr>
          <w:sz w:val="28"/>
          <w:szCs w:val="28"/>
        </w:rPr>
        <w:t xml:space="preserve"> </w:t>
      </w:r>
    </w:p>
    <w:p w:rsidR="00B6540D" w:rsidRPr="003F09DD" w:rsidRDefault="00B6540D" w:rsidP="00B6540D">
      <w:pPr>
        <w:ind w:firstLine="397"/>
        <w:contextualSpacing/>
        <w:jc w:val="both"/>
      </w:pPr>
      <w:r w:rsidRPr="00AB634A">
        <w:t xml:space="preserve">Величину </w:t>
      </w:r>
      <w:r w:rsidRPr="003F09DD">
        <w:t xml:space="preserve">синергического эффекта (SE) </w:t>
      </w:r>
      <w:bookmarkEnd w:id="0"/>
      <w:r w:rsidRPr="003F09DD">
        <w:t>оценивали</w:t>
      </w:r>
      <w:r>
        <w:t xml:space="preserve"> методом </w:t>
      </w:r>
      <w:proofErr w:type="spellStart"/>
      <w:r>
        <w:t>фотоколориметрии</w:t>
      </w:r>
      <w:proofErr w:type="spellEnd"/>
      <w:r w:rsidRPr="003F09DD">
        <w:t xml:space="preserve"> по усилению начальной скорости реакции DPPH</w:t>
      </w:r>
      <w:r w:rsidRPr="003F09DD">
        <w:rPr>
          <w:vertAlign w:val="superscript"/>
        </w:rPr>
        <w:t xml:space="preserve">• </w:t>
      </w:r>
      <w:r w:rsidRPr="003F09DD">
        <w:t xml:space="preserve">со смесью </w:t>
      </w:r>
      <w:proofErr w:type="spellStart"/>
      <w:r w:rsidRPr="003F09DD">
        <w:rPr>
          <w:rFonts w:eastAsia="Calibri"/>
          <w:lang w:eastAsia="en-US"/>
        </w:rPr>
        <w:t>ArOH</w:t>
      </w:r>
      <w:proofErr w:type="spellEnd"/>
      <w:r w:rsidRPr="003F09DD">
        <w:rPr>
          <w:rFonts w:eastAsia="Calibri"/>
          <w:lang w:eastAsia="en-US"/>
        </w:rPr>
        <w:t xml:space="preserve"> и </w:t>
      </w:r>
      <w:proofErr w:type="spellStart"/>
      <w:r w:rsidRPr="003F09DD">
        <w:rPr>
          <w:rFonts w:eastAsia="Calibri"/>
          <w:lang w:eastAsia="en-US"/>
        </w:rPr>
        <w:t>Sacch</w:t>
      </w:r>
      <w:proofErr w:type="spellEnd"/>
      <w:r w:rsidRPr="003F09DD">
        <w:rPr>
          <w:rFonts w:eastAsia="Calibri"/>
          <w:lang w:eastAsia="en-US"/>
        </w:rPr>
        <w:t xml:space="preserve"> 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υ</m:t>
            </m:r>
          </m:e>
          <m:sub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mix</m:t>
            </m:r>
          </m:sub>
        </m:sSub>
      </m:oMath>
      <w:r w:rsidRPr="003F09DD">
        <w:rPr>
          <w:rFonts w:eastAsia="Calibri"/>
          <w:lang w:eastAsia="en-US"/>
        </w:rPr>
        <w:t>)</w:t>
      </w:r>
      <w:r w:rsidRPr="003F09DD">
        <w:t xml:space="preserve"> по сравнению с аддитивным действием фенола и углевода:</w:t>
      </w:r>
    </w:p>
    <w:p w:rsidR="00B6540D" w:rsidRPr="003F09DD" w:rsidRDefault="00B6540D" w:rsidP="00B6540D">
      <w:pPr>
        <w:contextualSpacing/>
        <w:jc w:val="center"/>
      </w:pPr>
      <m:oMath>
        <m:r>
          <m:rPr>
            <m:sty m:val="p"/>
          </m:rPr>
          <w:rPr>
            <w:rFonts w:ascii="Cambria Math" w:hAnsi="Cambria Math"/>
          </w:rPr>
          <m:t>SE=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υ</m:t>
                        </m:r>
                      </m:e>
                      <m:sub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0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mix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υ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add</m:t>
                        </m:r>
                      </m:sub>
                    </m:sSub>
                  </m:e>
                </m:d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υ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add</m:t>
                    </m:r>
                  </m:sub>
                </m:sSub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∙100% 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Δυ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υ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add</m:t>
                    </m:r>
                  </m:sub>
                </m:sSub>
              </m:den>
            </m:f>
          </m:e>
        </m:d>
        <m:r>
          <m:rPr>
            <m:sty m:val="p"/>
          </m:rPr>
          <w:rPr>
            <w:rFonts w:ascii="Cambria Math" w:hAnsi="Cambria Math"/>
          </w:rPr>
          <m:t xml:space="preserve">∙100% </m:t>
        </m:r>
      </m:oMath>
      <w:r w:rsidRPr="003F09DD">
        <w:t>,</w:t>
      </w:r>
    </w:p>
    <w:p w:rsidR="00B6540D" w:rsidRPr="003F09DD" w:rsidRDefault="00B6540D" w:rsidP="00B6540D">
      <w:pPr>
        <w:contextualSpacing/>
        <w:jc w:val="both"/>
      </w:pPr>
      <w:r w:rsidRPr="003F09DD">
        <w:t xml:space="preserve">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υ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add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υ</m:t>
            </m:r>
          </m:e>
          <m:sub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ArOH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 xml:space="preserve"> + υ</m:t>
            </m:r>
          </m:e>
          <m:sub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Sacch</m:t>
            </m:r>
          </m:sub>
        </m:sSub>
      </m:oMath>
      <w:r w:rsidRPr="003F09DD">
        <w:t xml:space="preserve"> – начальная скорость реакции в предположении, что действие смеси аддитивно (так как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 xml:space="preserve"> υ</m:t>
            </m:r>
          </m:e>
          <m:sub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Sacch</m:t>
            </m:r>
          </m:sub>
        </m:sSub>
      </m:oMath>
      <w:r w:rsidRPr="003F09DD">
        <w:rPr>
          <w:rFonts w:eastAsia="Calibri"/>
        </w:rPr>
        <w:t xml:space="preserve"> = 0, то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υ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add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υ</m:t>
            </m:r>
          </m:e>
          <m:sub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ArOH</m:t>
            </m:r>
          </m:sub>
        </m:sSub>
      </m:oMath>
      <w:r w:rsidRPr="003F09DD">
        <w:rPr>
          <w:rFonts w:eastAsia="Calibri"/>
        </w:rPr>
        <w:t>)</w:t>
      </w:r>
      <w:r w:rsidRPr="003F09DD">
        <w:t xml:space="preserve">, </w:t>
      </w:r>
      <w:proofErr w:type="spellStart"/>
      <w:r w:rsidRPr="003F09DD">
        <w:t>моль∙</w:t>
      </w:r>
      <w:proofErr w:type="gramStart"/>
      <w:r w:rsidRPr="003F09DD">
        <w:t>л</w:t>
      </w:r>
      <w:proofErr w:type="spellEnd"/>
      <w:proofErr w:type="gramEnd"/>
      <w:r>
        <w:rPr>
          <w:vertAlign w:val="superscript"/>
        </w:rPr>
        <w:t>–</w:t>
      </w:r>
      <w:r w:rsidRPr="003F09DD">
        <w:rPr>
          <w:vertAlign w:val="superscript"/>
        </w:rPr>
        <w:t>1</w:t>
      </w:r>
      <w:r w:rsidRPr="003F09DD">
        <w:t>∙с</w:t>
      </w:r>
      <w:r>
        <w:rPr>
          <w:vertAlign w:val="superscript"/>
        </w:rPr>
        <w:t>–</w:t>
      </w:r>
      <w:r w:rsidRPr="003F09DD">
        <w:rPr>
          <w:vertAlign w:val="superscript"/>
        </w:rPr>
        <w:t>1</w:t>
      </w:r>
      <w:r w:rsidRPr="003F09DD">
        <w:rPr>
          <w:rFonts w:eastAsia="Calibri"/>
        </w:rPr>
        <w:t xml:space="preserve">. </w:t>
      </w:r>
      <w:r w:rsidRPr="003F09DD">
        <w:t>Эффект считался зафиксированным, если SE &gt; 0.</w:t>
      </w:r>
    </w:p>
    <w:p w:rsidR="00B6540D" w:rsidRDefault="00B6540D" w:rsidP="00B654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F09DD">
        <w:rPr>
          <w:color w:val="000000"/>
        </w:rPr>
        <w:t>Установлено, что в кислой среде с рН</w:t>
      </w:r>
      <w:r w:rsidRPr="00CF45CA">
        <w:rPr>
          <w:color w:val="000000"/>
        </w:rPr>
        <w:t xml:space="preserve"> = 2 скорость дезактивации радикала </w:t>
      </w:r>
      <w:r w:rsidRPr="004D6108">
        <w:rPr>
          <w:color w:val="000000"/>
        </w:rPr>
        <w:t>DPPH</w:t>
      </w:r>
      <w:r w:rsidRPr="004D6108">
        <w:rPr>
          <w:color w:val="000000"/>
          <w:vertAlign w:val="superscript"/>
        </w:rPr>
        <w:t>•</w:t>
      </w:r>
      <w:r>
        <w:rPr>
          <w:color w:val="000000"/>
          <w:vertAlign w:val="superscript"/>
        </w:rPr>
        <w:t xml:space="preserve"> </w:t>
      </w:r>
      <w:r w:rsidRPr="00CF45CA">
        <w:rPr>
          <w:color w:val="000000"/>
        </w:rPr>
        <w:t xml:space="preserve">в реакции с </w:t>
      </w:r>
      <w:proofErr w:type="spellStart"/>
      <w:r w:rsidRPr="004D6108">
        <w:rPr>
          <w:color w:val="000000"/>
        </w:rPr>
        <w:t>ArOH</w:t>
      </w:r>
      <w:proofErr w:type="spellEnd"/>
      <w:r w:rsidRPr="00CF45CA">
        <w:rPr>
          <w:color w:val="000000"/>
        </w:rPr>
        <w:t xml:space="preserve"> значительно возрастает в присутствии </w:t>
      </w:r>
      <w:proofErr w:type="spellStart"/>
      <w:r w:rsidRPr="004D6108">
        <w:rPr>
          <w:color w:val="000000"/>
        </w:rPr>
        <w:t>Sacch</w:t>
      </w:r>
      <w:proofErr w:type="spellEnd"/>
      <w:r w:rsidRPr="00CF45CA">
        <w:rPr>
          <w:color w:val="000000"/>
        </w:rPr>
        <w:t xml:space="preserve"> по сравнению с аддитивным действием смеси</w:t>
      </w:r>
      <w:r>
        <w:rPr>
          <w:color w:val="000000"/>
        </w:rPr>
        <w:t xml:space="preserve"> (рис. 1)</w:t>
      </w:r>
      <w:r w:rsidRPr="00CF45CA">
        <w:rPr>
          <w:color w:val="000000"/>
        </w:rPr>
        <w:t xml:space="preserve">. </w:t>
      </w:r>
      <w:r w:rsidRPr="00931DC7">
        <w:rPr>
          <w:color w:val="000000"/>
        </w:rPr>
        <w:t xml:space="preserve">Максимальный </w:t>
      </w:r>
      <w:proofErr w:type="spellStart"/>
      <w:r w:rsidRPr="00931DC7">
        <w:rPr>
          <w:color w:val="000000"/>
        </w:rPr>
        <w:t>антирадик</w:t>
      </w:r>
      <w:r>
        <w:rPr>
          <w:color w:val="000000"/>
        </w:rPr>
        <w:t>альный</w:t>
      </w:r>
      <w:proofErr w:type="spellEnd"/>
      <w:r>
        <w:rPr>
          <w:color w:val="000000"/>
        </w:rPr>
        <w:t xml:space="preserve"> синергический эффект (65 </w:t>
      </w:r>
      <w:r w:rsidRPr="00931DC7">
        <w:rPr>
          <w:color w:val="000000"/>
        </w:rPr>
        <w:t>% и выше) проявили бинарные композиции кофейная кислота</w:t>
      </w:r>
      <w:r>
        <w:rPr>
          <w:color w:val="000000"/>
        </w:rPr>
        <w:t> </w:t>
      </w:r>
      <w:r w:rsidRPr="00931DC7">
        <w:rPr>
          <w:color w:val="000000"/>
        </w:rPr>
        <w:t>–</w:t>
      </w:r>
      <w:r>
        <w:rPr>
          <w:color w:val="000000"/>
        </w:rPr>
        <w:t xml:space="preserve"> </w:t>
      </w:r>
      <w:proofErr w:type="spellStart"/>
      <w:r w:rsidRPr="00931DC7">
        <w:rPr>
          <w:color w:val="000000"/>
        </w:rPr>
        <w:t>мальтотриоза</w:t>
      </w:r>
      <w:proofErr w:type="spellEnd"/>
      <w:r w:rsidRPr="00931DC7">
        <w:rPr>
          <w:color w:val="000000"/>
        </w:rPr>
        <w:t xml:space="preserve"> и </w:t>
      </w:r>
      <w:proofErr w:type="spellStart"/>
      <w:r w:rsidRPr="00931DC7">
        <w:rPr>
          <w:color w:val="000000"/>
        </w:rPr>
        <w:t>дигидрокверцетин</w:t>
      </w:r>
      <w:proofErr w:type="spellEnd"/>
      <w:r>
        <w:rPr>
          <w:color w:val="000000"/>
        </w:rPr>
        <w:t> </w:t>
      </w:r>
      <w:r w:rsidRPr="00931DC7">
        <w:rPr>
          <w:color w:val="000000"/>
        </w:rPr>
        <w:t>–</w:t>
      </w:r>
      <w:r>
        <w:rPr>
          <w:color w:val="000000"/>
        </w:rPr>
        <w:t> </w:t>
      </w:r>
      <w:proofErr w:type="spellStart"/>
      <w:r w:rsidRPr="00931DC7">
        <w:rPr>
          <w:color w:val="000000"/>
        </w:rPr>
        <w:t>м</w:t>
      </w:r>
      <w:r>
        <w:rPr>
          <w:color w:val="000000"/>
        </w:rPr>
        <w:t>альтотриоза</w:t>
      </w:r>
      <w:proofErr w:type="spellEnd"/>
      <w:r>
        <w:rPr>
          <w:color w:val="000000"/>
        </w:rPr>
        <w:t xml:space="preserve"> в соотношении 80:20 и 70:30</w:t>
      </w:r>
      <w:r w:rsidRPr="00931DC7">
        <w:rPr>
          <w:color w:val="000000"/>
        </w:rPr>
        <w:t xml:space="preserve"> соответственно.</w:t>
      </w:r>
    </w:p>
    <w:p w:rsidR="00B6540D" w:rsidRDefault="00B6540D" w:rsidP="00B654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B6540D" w:rsidRDefault="00B6540D" w:rsidP="00B654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1463EE9D" wp14:editId="58C5B48E">
            <wp:extent cx="3103179" cy="2165684"/>
            <wp:effectExtent l="0" t="0" r="2540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5932" cy="2209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40D" w:rsidRDefault="00B6540D" w:rsidP="00B654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Рис. 1. </w:t>
      </w:r>
      <w:r w:rsidRPr="00CF45CA">
        <w:rPr>
          <w:color w:val="000000"/>
        </w:rPr>
        <w:t xml:space="preserve">Зависимость величины синергического эффекта (SE) в реакции с </w:t>
      </w:r>
      <m:oMath>
        <m:sSup>
          <m:sSupPr>
            <m:ctrlPr>
              <w:rPr>
                <w:rFonts w:ascii="Cambria Math" w:hAnsi="Cambria Math"/>
                <w:color w:val="00000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DPPH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•</m:t>
            </m:r>
          </m:sup>
        </m:sSup>
      </m:oMath>
      <w:r w:rsidRPr="00CF45CA">
        <w:rPr>
          <w:color w:val="000000"/>
        </w:rPr>
        <w:t xml:space="preserve"> от состава смеси: 1 </w:t>
      </w:r>
      <w:r>
        <w:rPr>
          <w:color w:val="000000"/>
        </w:rPr>
        <w:t>—</w:t>
      </w:r>
      <w:r w:rsidRPr="00CF45CA">
        <w:rPr>
          <w:color w:val="000000"/>
        </w:rPr>
        <w:t xml:space="preserve"> </w:t>
      </w:r>
      <w:proofErr w:type="spellStart"/>
      <w:r w:rsidRPr="00CF45CA">
        <w:rPr>
          <w:color w:val="000000"/>
        </w:rPr>
        <w:t>кверцетин</w:t>
      </w:r>
      <w:proofErr w:type="spellEnd"/>
      <w:r>
        <w:rPr>
          <w:color w:val="000000"/>
        </w:rPr>
        <w:t xml:space="preserve"> </w:t>
      </w:r>
      <w:r w:rsidRPr="00CF45CA">
        <w:rPr>
          <w:color w:val="000000"/>
        </w:rPr>
        <w:t>–</w:t>
      </w:r>
      <w:r>
        <w:rPr>
          <w:color w:val="000000"/>
        </w:rPr>
        <w:t xml:space="preserve"> </w:t>
      </w:r>
      <w:proofErr w:type="spellStart"/>
      <w:r w:rsidRPr="00CF45CA">
        <w:rPr>
          <w:color w:val="000000"/>
        </w:rPr>
        <w:t>мальтотриоза</w:t>
      </w:r>
      <w:proofErr w:type="spellEnd"/>
      <w:r w:rsidRPr="00CF45CA">
        <w:rPr>
          <w:color w:val="000000"/>
        </w:rPr>
        <w:t xml:space="preserve"> при рН = 2; 2 </w:t>
      </w:r>
      <w:r>
        <w:rPr>
          <w:color w:val="000000"/>
        </w:rPr>
        <w:t>—</w:t>
      </w:r>
      <w:r w:rsidRPr="00CF45CA">
        <w:rPr>
          <w:color w:val="000000"/>
        </w:rPr>
        <w:t xml:space="preserve"> </w:t>
      </w:r>
      <w:proofErr w:type="spellStart"/>
      <w:r w:rsidRPr="00CF45CA">
        <w:rPr>
          <w:color w:val="000000"/>
        </w:rPr>
        <w:t>кверцетин</w:t>
      </w:r>
      <w:proofErr w:type="spellEnd"/>
      <w:r>
        <w:rPr>
          <w:color w:val="000000"/>
        </w:rPr>
        <w:t xml:space="preserve"> </w:t>
      </w:r>
      <w:r w:rsidRPr="00CF45CA">
        <w:rPr>
          <w:color w:val="000000"/>
        </w:rPr>
        <w:t>–</w:t>
      </w:r>
      <w:r>
        <w:rPr>
          <w:color w:val="000000"/>
        </w:rPr>
        <w:t xml:space="preserve"> </w:t>
      </w:r>
      <w:r w:rsidRPr="00CF45CA">
        <w:rPr>
          <w:color w:val="000000"/>
        </w:rPr>
        <w:t xml:space="preserve">глюкоза при рН = 2; 3 </w:t>
      </w:r>
      <w:r>
        <w:rPr>
          <w:color w:val="000000"/>
        </w:rPr>
        <w:t>—</w:t>
      </w:r>
      <w:r w:rsidRPr="00CF45CA">
        <w:rPr>
          <w:color w:val="000000"/>
        </w:rPr>
        <w:t xml:space="preserve"> </w:t>
      </w:r>
      <w:proofErr w:type="spellStart"/>
      <w:r w:rsidRPr="00CF45CA">
        <w:rPr>
          <w:color w:val="000000"/>
        </w:rPr>
        <w:t>кверцетин</w:t>
      </w:r>
      <w:proofErr w:type="spellEnd"/>
      <w:r>
        <w:rPr>
          <w:color w:val="000000"/>
        </w:rPr>
        <w:t xml:space="preserve"> </w:t>
      </w:r>
      <w:r w:rsidRPr="00CF45CA">
        <w:rPr>
          <w:color w:val="000000"/>
        </w:rPr>
        <w:t>–</w:t>
      </w:r>
      <w:r>
        <w:rPr>
          <w:color w:val="000000"/>
        </w:rPr>
        <w:t xml:space="preserve"> </w:t>
      </w:r>
      <w:r w:rsidRPr="00CF45CA">
        <w:rPr>
          <w:color w:val="000000"/>
        </w:rPr>
        <w:t>глюкоза при рН = 7</w:t>
      </w:r>
      <w:r w:rsidRPr="00B6540D">
        <w:rPr>
          <w:color w:val="000000"/>
        </w:rPr>
        <w:t>.</w:t>
      </w:r>
      <w:r w:rsidRPr="00CF45CA">
        <w:rPr>
          <w:color w:val="000000"/>
        </w:rPr>
        <w:t>3</w:t>
      </w:r>
      <w:r>
        <w:rPr>
          <w:color w:val="000000"/>
        </w:rPr>
        <w:t xml:space="preserve">5; 4 </w:t>
      </w:r>
      <w:r w:rsidRPr="00B6540D">
        <w:rPr>
          <w:color w:val="000000"/>
        </w:rPr>
        <w:t>—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кверцетин</w:t>
      </w:r>
      <w:proofErr w:type="spellEnd"/>
      <w:r w:rsidRPr="00B6540D">
        <w:rPr>
          <w:color w:val="000000"/>
        </w:rPr>
        <w:t xml:space="preserve"> </w:t>
      </w:r>
      <w:r>
        <w:rPr>
          <w:color w:val="000000"/>
        </w:rPr>
        <w:t>–</w:t>
      </w:r>
      <w:r w:rsidRPr="00B6540D">
        <w:rPr>
          <w:color w:val="000000"/>
        </w:rPr>
        <w:t xml:space="preserve"> </w:t>
      </w:r>
      <w:r>
        <w:rPr>
          <w:color w:val="000000"/>
        </w:rPr>
        <w:t>глюкоза при рН </w:t>
      </w:r>
      <w:r w:rsidRPr="00CF45CA">
        <w:rPr>
          <w:color w:val="000000"/>
        </w:rPr>
        <w:t xml:space="preserve">= 9. </w:t>
      </w:r>
      <w:r>
        <w:rPr>
          <w:color w:val="000000"/>
        </w:rPr>
        <w:t>С</w:t>
      </w:r>
      <w:r w:rsidRPr="00CF45CA">
        <w:rPr>
          <w:color w:val="000000"/>
        </w:rPr>
        <w:t>уммарная концентрация смеси 1∙10</w:t>
      </w:r>
      <w:r w:rsidRPr="00B6540D">
        <w:rPr>
          <w:color w:val="000000"/>
          <w:vertAlign w:val="superscript"/>
        </w:rPr>
        <w:t>–</w:t>
      </w:r>
      <w:r w:rsidRPr="00495CC4">
        <w:rPr>
          <w:color w:val="000000"/>
          <w:vertAlign w:val="superscript"/>
        </w:rPr>
        <w:t>5</w:t>
      </w:r>
      <w:r w:rsidRPr="00A27775">
        <w:rPr>
          <w:color w:val="000000"/>
        </w:rPr>
        <w:t xml:space="preserve"> </w:t>
      </w:r>
      <w:r>
        <w:rPr>
          <w:color w:val="000000"/>
        </w:rPr>
        <w:t xml:space="preserve">и </w:t>
      </w:r>
      <w:r w:rsidRPr="00CF45CA">
        <w:rPr>
          <w:color w:val="000000"/>
        </w:rPr>
        <w:t>3∙10</w:t>
      </w:r>
      <w:r w:rsidRPr="00B6540D">
        <w:rPr>
          <w:color w:val="000000"/>
          <w:vertAlign w:val="superscript"/>
        </w:rPr>
        <w:t>–</w:t>
      </w:r>
      <w:r w:rsidRPr="00495CC4">
        <w:rPr>
          <w:color w:val="000000"/>
          <w:vertAlign w:val="superscript"/>
        </w:rPr>
        <w:t>4</w:t>
      </w:r>
      <w:r>
        <w:rPr>
          <w:color w:val="000000"/>
        </w:rPr>
        <w:t xml:space="preserve"> </w:t>
      </w:r>
      <w:proofErr w:type="spellStart"/>
      <w:r w:rsidRPr="00CF45CA">
        <w:rPr>
          <w:color w:val="000000"/>
        </w:rPr>
        <w:t>моль∙</w:t>
      </w:r>
      <w:proofErr w:type="gramStart"/>
      <w:r w:rsidRPr="00CF45CA">
        <w:rPr>
          <w:color w:val="000000"/>
        </w:rPr>
        <w:t>л</w:t>
      </w:r>
      <w:proofErr w:type="spellEnd"/>
      <w:proofErr w:type="gramEnd"/>
      <w:r w:rsidRPr="00B6540D">
        <w:rPr>
          <w:color w:val="000000"/>
          <w:vertAlign w:val="superscript"/>
        </w:rPr>
        <w:t>–</w:t>
      </w:r>
      <w:r w:rsidRPr="00495CC4">
        <w:rPr>
          <w:color w:val="000000"/>
          <w:vertAlign w:val="superscript"/>
        </w:rPr>
        <w:t>1</w:t>
      </w:r>
      <w:r>
        <w:rPr>
          <w:color w:val="000000"/>
        </w:rPr>
        <w:t xml:space="preserve">. </w:t>
      </w:r>
      <w:r w:rsidRPr="00B6540D">
        <w:rPr>
          <w:i/>
          <w:iCs/>
          <w:color w:val="000000"/>
        </w:rPr>
        <w:t>T</w:t>
      </w:r>
      <w:r w:rsidRPr="00CF45CA">
        <w:rPr>
          <w:color w:val="000000"/>
        </w:rPr>
        <w:t xml:space="preserve"> = 293</w:t>
      </w:r>
      <w:r>
        <w:rPr>
          <w:color w:val="000000"/>
        </w:rPr>
        <w:t> </w:t>
      </w:r>
      <w:r w:rsidRPr="00CF45CA">
        <w:rPr>
          <w:color w:val="000000"/>
        </w:rPr>
        <w:t>±</w:t>
      </w:r>
      <w:r>
        <w:rPr>
          <w:color w:val="000000"/>
        </w:rPr>
        <w:t> </w:t>
      </w:r>
      <w:r w:rsidRPr="00CF45CA">
        <w:rPr>
          <w:color w:val="000000"/>
        </w:rPr>
        <w:t>2</w:t>
      </w:r>
      <w:proofErr w:type="gramStart"/>
      <w:r w:rsidRPr="00CF45CA">
        <w:rPr>
          <w:color w:val="000000"/>
        </w:rPr>
        <w:t xml:space="preserve"> К</w:t>
      </w:r>
      <w:proofErr w:type="gramEnd"/>
    </w:p>
    <w:p w:rsidR="00B6540D" w:rsidRDefault="00B6540D" w:rsidP="00B654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:rsidR="00BC2663" w:rsidRDefault="00B6540D" w:rsidP="00B6540D">
      <w:r w:rsidRPr="00CF45CA">
        <w:rPr>
          <w:color w:val="000000"/>
        </w:rPr>
        <w:t>Для всех групп фенолов синергическая активность возрастает при переходе от мон</w:t>
      </w:r>
      <w:proofErr w:type="gramStart"/>
      <w:r w:rsidRPr="00CF45CA">
        <w:rPr>
          <w:color w:val="000000"/>
        </w:rPr>
        <w:t>о-</w:t>
      </w:r>
      <w:proofErr w:type="gramEnd"/>
      <w:r w:rsidRPr="00CF45CA">
        <w:rPr>
          <w:color w:val="000000"/>
        </w:rPr>
        <w:t xml:space="preserve"> к </w:t>
      </w:r>
      <w:proofErr w:type="spellStart"/>
      <w:r w:rsidRPr="00CF45CA">
        <w:rPr>
          <w:color w:val="000000"/>
        </w:rPr>
        <w:t>ди</w:t>
      </w:r>
      <w:proofErr w:type="spellEnd"/>
      <w:r w:rsidRPr="00B6540D">
        <w:rPr>
          <w:color w:val="000000"/>
        </w:rPr>
        <w:t>-</w:t>
      </w:r>
      <w:r w:rsidRPr="00CF45CA">
        <w:rPr>
          <w:color w:val="000000"/>
        </w:rPr>
        <w:t xml:space="preserve"> и </w:t>
      </w:r>
      <w:proofErr w:type="spellStart"/>
      <w:r w:rsidRPr="00CF45CA">
        <w:rPr>
          <w:color w:val="000000"/>
        </w:rPr>
        <w:t>трисахариду</w:t>
      </w:r>
      <w:proofErr w:type="spellEnd"/>
      <w:r w:rsidRPr="00CF45CA">
        <w:rPr>
          <w:color w:val="000000"/>
        </w:rPr>
        <w:t xml:space="preserve">. Рост рН среды от 2 до 9 приводит фактически к полному </w:t>
      </w:r>
      <w:r>
        <w:rPr>
          <w:color w:val="000000"/>
        </w:rPr>
        <w:t xml:space="preserve">нивелированию </w:t>
      </w:r>
      <w:proofErr w:type="spellStart"/>
      <w:r>
        <w:rPr>
          <w:color w:val="000000"/>
        </w:rPr>
        <w:t>ан</w:t>
      </w:r>
      <w:r w:rsidRPr="00CF45CA">
        <w:rPr>
          <w:color w:val="000000"/>
        </w:rPr>
        <w:t>тирадикального</w:t>
      </w:r>
      <w:proofErr w:type="spellEnd"/>
      <w:r w:rsidRPr="00CF45CA">
        <w:rPr>
          <w:color w:val="000000"/>
        </w:rPr>
        <w:t xml:space="preserve"> синергизма (до 10</w:t>
      </w:r>
      <w:r>
        <w:rPr>
          <w:color w:val="000000"/>
        </w:rPr>
        <w:t xml:space="preserve"> </w:t>
      </w:r>
      <w:r w:rsidRPr="00CF45CA">
        <w:rPr>
          <w:color w:val="000000"/>
        </w:rPr>
        <w:t>%) во всех исследованных фенольно-</w:t>
      </w:r>
      <w:proofErr w:type="spellStart"/>
      <w:r w:rsidRPr="00CF45CA">
        <w:rPr>
          <w:color w:val="000000"/>
        </w:rPr>
        <w:t>сахаридных</w:t>
      </w:r>
      <w:proofErr w:type="spellEnd"/>
      <w:r w:rsidRPr="00CF45CA">
        <w:rPr>
          <w:color w:val="000000"/>
        </w:rPr>
        <w:t xml:space="preserve"> смесях, а также к появлению эффектов антагонизма при высоком содержании углевода в композиции</w:t>
      </w:r>
      <w:r>
        <w:rPr>
          <w:color w:val="000000"/>
        </w:rPr>
        <w:t xml:space="preserve"> (рис. 1)</w:t>
      </w:r>
      <w:r w:rsidRPr="00CF45CA">
        <w:rPr>
          <w:color w:val="000000"/>
        </w:rPr>
        <w:t>.</w:t>
      </w:r>
      <w:r>
        <w:rPr>
          <w:color w:val="000000"/>
        </w:rPr>
        <w:t xml:space="preserve"> </w:t>
      </w:r>
      <w:r w:rsidRPr="00CF45CA">
        <w:rPr>
          <w:color w:val="000000"/>
        </w:rPr>
        <w:t>Методом ЯМР-спектроскопии установлено, что механизм синер</w:t>
      </w:r>
      <w:r>
        <w:rPr>
          <w:color w:val="000000"/>
        </w:rPr>
        <w:t>гизма заключается в образовании</w:t>
      </w:r>
      <w:r w:rsidRPr="00CF45CA">
        <w:rPr>
          <w:color w:val="000000"/>
        </w:rPr>
        <w:t xml:space="preserve"> между реагентами реакции водородного комплекса фенол–сахарид донорного типа, более эффективно взаимодействующего с радикалом, чем соответствующие мономеры.</w:t>
      </w:r>
      <w:bookmarkStart w:id="1" w:name="_GoBack"/>
      <w:bookmarkEnd w:id="1"/>
    </w:p>
    <w:sectPr w:rsidR="00BC2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40D"/>
    <w:rsid w:val="00B6540D"/>
    <w:rsid w:val="00D741A2"/>
    <w:rsid w:val="00FB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0D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654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54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40D"/>
    <w:rPr>
      <w:rFonts w:ascii="Tahoma" w:eastAsia="Times New Roman" w:hAnsi="Tahoma" w:cs="Tahoma"/>
      <w:kern w:val="24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0D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654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54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40D"/>
    <w:rPr>
      <w:rFonts w:ascii="Tahoma" w:eastAsia="Times New Roman" w:hAnsi="Tahoma" w:cs="Tahoma"/>
      <w:kern w:val="24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bbkaty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2023-03-09T16:16:00Z</dcterms:created>
  <dcterms:modified xsi:type="dcterms:W3CDTF">2023-03-09T16:16:00Z</dcterms:modified>
</cp:coreProperties>
</file>