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65" w:rsidRPr="00D27FB7" w:rsidRDefault="00674565" w:rsidP="00674565">
      <w:pPr>
        <w:widowControl w:val="0"/>
        <w:ind w:firstLine="397"/>
        <w:contextualSpacing/>
        <w:jc w:val="center"/>
        <w:rPr>
          <w:rFonts w:eastAsia="Calibri"/>
          <w:b/>
          <w:kern w:val="0"/>
          <w:szCs w:val="22"/>
          <w:lang w:eastAsia="en-US"/>
        </w:rPr>
      </w:pPr>
      <w:proofErr w:type="spellStart"/>
      <w:r w:rsidRPr="00D27FB7">
        <w:rPr>
          <w:rFonts w:eastAsia="Calibri"/>
          <w:b/>
          <w:kern w:val="0"/>
          <w:szCs w:val="22"/>
          <w:lang w:eastAsia="en-US"/>
        </w:rPr>
        <w:t>Фотокаталитическое</w:t>
      </w:r>
      <w:proofErr w:type="spellEnd"/>
      <w:r w:rsidRPr="00D27FB7">
        <w:rPr>
          <w:rFonts w:eastAsia="Calibri"/>
          <w:b/>
          <w:kern w:val="0"/>
          <w:szCs w:val="22"/>
          <w:lang w:eastAsia="en-US"/>
        </w:rPr>
        <w:t xml:space="preserve"> и адсорбционное удаление </w:t>
      </w:r>
      <w:proofErr w:type="spellStart"/>
      <w:r w:rsidRPr="00D27FB7">
        <w:rPr>
          <w:rFonts w:eastAsia="Calibri"/>
          <w:b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b/>
          <w:kern w:val="0"/>
          <w:szCs w:val="22"/>
          <w:lang w:eastAsia="en-US"/>
        </w:rPr>
        <w:t xml:space="preserve"> из воды </w:t>
      </w:r>
      <w:proofErr w:type="spellStart"/>
      <w:r w:rsidRPr="00D27FB7">
        <w:rPr>
          <w:rFonts w:eastAsia="Calibri"/>
          <w:b/>
          <w:kern w:val="0"/>
          <w:szCs w:val="22"/>
          <w:lang w:eastAsia="en-US"/>
        </w:rPr>
        <w:t>микромезопористыми</w:t>
      </w:r>
      <w:proofErr w:type="spellEnd"/>
      <w:r w:rsidRPr="00D27FB7">
        <w:rPr>
          <w:rFonts w:eastAsia="Calibri"/>
          <w:b/>
          <w:kern w:val="0"/>
          <w:szCs w:val="22"/>
          <w:lang w:eastAsia="en-US"/>
        </w:rPr>
        <w:t xml:space="preserve"> </w:t>
      </w:r>
      <w:proofErr w:type="gramStart"/>
      <w:r w:rsidRPr="00D27FB7">
        <w:rPr>
          <w:rFonts w:eastAsia="Calibri"/>
          <w:b/>
          <w:kern w:val="0"/>
          <w:szCs w:val="22"/>
          <w:lang w:eastAsia="en-US"/>
        </w:rPr>
        <w:t>металл-органическими</w:t>
      </w:r>
      <w:proofErr w:type="gramEnd"/>
      <w:r w:rsidRPr="00D27FB7">
        <w:rPr>
          <w:rFonts w:eastAsia="Calibri"/>
          <w:b/>
          <w:kern w:val="0"/>
          <w:szCs w:val="22"/>
          <w:lang w:eastAsia="en-US"/>
        </w:rPr>
        <w:t xml:space="preserve"> материалами (NH</w:t>
      </w:r>
      <w:r w:rsidRPr="00D27FB7">
        <w:rPr>
          <w:rFonts w:eastAsia="Calibri"/>
          <w:b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b/>
          <w:kern w:val="0"/>
          <w:szCs w:val="22"/>
          <w:lang w:eastAsia="en-US"/>
        </w:rPr>
        <w:t>)-UiO-66</w:t>
      </w:r>
    </w:p>
    <w:p w:rsidR="00674565" w:rsidRPr="00D27FB7" w:rsidRDefault="00674565" w:rsidP="00674565">
      <w:pPr>
        <w:widowControl w:val="0"/>
        <w:ind w:firstLine="397"/>
        <w:contextualSpacing/>
        <w:jc w:val="center"/>
        <w:rPr>
          <w:rFonts w:eastAsia="Calibri"/>
          <w:b/>
          <w:i/>
          <w:kern w:val="0"/>
          <w:szCs w:val="22"/>
          <w:lang w:eastAsia="en-US"/>
        </w:rPr>
      </w:pPr>
      <w:proofErr w:type="spellStart"/>
      <w:r w:rsidRPr="00D27FB7">
        <w:rPr>
          <w:rFonts w:eastAsia="Calibri"/>
          <w:b/>
          <w:i/>
          <w:kern w:val="0"/>
          <w:szCs w:val="22"/>
          <w:lang w:eastAsia="en-US"/>
        </w:rPr>
        <w:t>Вергун</w:t>
      </w:r>
      <w:proofErr w:type="spellEnd"/>
      <w:r w:rsidRPr="00D27FB7">
        <w:rPr>
          <w:rFonts w:eastAsia="Calibri"/>
          <w:b/>
          <w:i/>
          <w:kern w:val="0"/>
          <w:szCs w:val="22"/>
          <w:lang w:eastAsia="en-US"/>
        </w:rPr>
        <w:t xml:space="preserve"> В.В.</w:t>
      </w:r>
    </w:p>
    <w:p w:rsidR="00674565" w:rsidRPr="00D27FB7" w:rsidRDefault="00674565" w:rsidP="00674565">
      <w:pPr>
        <w:widowControl w:val="0"/>
        <w:ind w:firstLine="397"/>
        <w:contextualSpacing/>
        <w:jc w:val="center"/>
        <w:rPr>
          <w:rFonts w:eastAsia="Calibri"/>
          <w:i/>
          <w:kern w:val="0"/>
          <w:szCs w:val="22"/>
          <w:lang w:eastAsia="en-US"/>
        </w:rPr>
      </w:pPr>
      <w:r w:rsidRPr="00D27FB7">
        <w:rPr>
          <w:rFonts w:eastAsia="Calibri"/>
          <w:i/>
          <w:kern w:val="0"/>
          <w:szCs w:val="22"/>
          <w:lang w:eastAsia="en-US"/>
        </w:rPr>
        <w:t xml:space="preserve">Студент, 6 курс </w:t>
      </w:r>
      <w:proofErr w:type="spellStart"/>
      <w:r w:rsidRPr="00D27FB7">
        <w:rPr>
          <w:rFonts w:eastAsia="Calibri"/>
          <w:i/>
          <w:kern w:val="0"/>
          <w:szCs w:val="22"/>
          <w:lang w:eastAsia="en-US"/>
        </w:rPr>
        <w:t>специалитета</w:t>
      </w:r>
      <w:proofErr w:type="spellEnd"/>
    </w:p>
    <w:p w:rsidR="00674565" w:rsidRPr="00D27FB7" w:rsidRDefault="00674565" w:rsidP="00674565">
      <w:pPr>
        <w:widowControl w:val="0"/>
        <w:contextualSpacing/>
        <w:jc w:val="center"/>
        <w:rPr>
          <w:rFonts w:eastAsia="Calibri"/>
          <w:i/>
          <w:kern w:val="0"/>
          <w:szCs w:val="22"/>
          <w:lang w:eastAsia="en-US"/>
        </w:rPr>
      </w:pPr>
      <w:r w:rsidRPr="00D27FB7">
        <w:rPr>
          <w:rFonts w:eastAsia="Calibri"/>
          <w:i/>
          <w:kern w:val="0"/>
          <w:szCs w:val="22"/>
          <w:lang w:eastAsia="en-US"/>
        </w:rPr>
        <w:t>ФГБУН Институт органической химии им. Н.Д. Зелинского Российской академии наук,</w:t>
      </w:r>
    </w:p>
    <w:p w:rsidR="00674565" w:rsidRPr="00D27FB7" w:rsidRDefault="00674565" w:rsidP="00674565">
      <w:pPr>
        <w:widowControl w:val="0"/>
        <w:contextualSpacing/>
        <w:jc w:val="center"/>
        <w:rPr>
          <w:rFonts w:eastAsia="Calibri"/>
          <w:i/>
          <w:kern w:val="0"/>
          <w:szCs w:val="22"/>
          <w:lang w:eastAsia="en-US"/>
        </w:rPr>
      </w:pPr>
      <w:r>
        <w:rPr>
          <w:rFonts w:eastAsia="Calibri"/>
          <w:i/>
          <w:kern w:val="0"/>
          <w:szCs w:val="22"/>
          <w:lang w:eastAsia="en-US"/>
        </w:rPr>
        <w:t>л</w:t>
      </w:r>
      <w:r w:rsidRPr="00D27FB7">
        <w:rPr>
          <w:rFonts w:eastAsia="Calibri"/>
          <w:i/>
          <w:kern w:val="0"/>
          <w:szCs w:val="22"/>
          <w:lang w:eastAsia="en-US"/>
        </w:rPr>
        <w:t>аборатория разработки и исследования полифункциональных катализаторов (№14)</w:t>
      </w:r>
    </w:p>
    <w:p w:rsidR="00674565" w:rsidRPr="00D27FB7" w:rsidRDefault="00674565" w:rsidP="00674565">
      <w:pPr>
        <w:widowControl w:val="0"/>
        <w:contextualSpacing/>
        <w:jc w:val="center"/>
        <w:rPr>
          <w:rFonts w:eastAsia="Calibri"/>
          <w:i/>
          <w:kern w:val="0"/>
          <w:szCs w:val="22"/>
          <w:lang w:eastAsia="en-US"/>
        </w:rPr>
      </w:pPr>
      <w:r w:rsidRPr="00D27FB7">
        <w:rPr>
          <w:rFonts w:eastAsia="Calibri"/>
          <w:i/>
          <w:kern w:val="0"/>
          <w:szCs w:val="22"/>
          <w:lang w:eastAsia="en-US"/>
        </w:rPr>
        <w:t>Москва, Россия</w:t>
      </w:r>
    </w:p>
    <w:p w:rsidR="00674565" w:rsidRPr="00D27FB7" w:rsidRDefault="00674565" w:rsidP="00674565">
      <w:pPr>
        <w:widowControl w:val="0"/>
        <w:contextualSpacing/>
        <w:jc w:val="center"/>
        <w:rPr>
          <w:rFonts w:eastAsia="Calibri"/>
          <w:i/>
          <w:kern w:val="0"/>
          <w:szCs w:val="22"/>
          <w:lang w:eastAsia="en-US"/>
        </w:rPr>
      </w:pPr>
      <w:r w:rsidRPr="00D27FB7">
        <w:rPr>
          <w:rFonts w:eastAsia="Calibri"/>
          <w:i/>
          <w:color w:val="000000"/>
          <w:kern w:val="0"/>
          <w:szCs w:val="22"/>
          <w:lang w:eastAsia="en-US"/>
        </w:rPr>
        <w:t>E-</w:t>
      </w:r>
      <w:proofErr w:type="spellStart"/>
      <w:r w:rsidRPr="00D27FB7">
        <w:rPr>
          <w:rFonts w:eastAsia="Calibri"/>
          <w:i/>
          <w:color w:val="000000"/>
          <w:kern w:val="0"/>
          <w:szCs w:val="22"/>
          <w:lang w:eastAsia="en-US"/>
        </w:rPr>
        <w:t>mail</w:t>
      </w:r>
      <w:proofErr w:type="spellEnd"/>
      <w:r w:rsidRPr="00D27FB7">
        <w:rPr>
          <w:rFonts w:eastAsia="Calibri"/>
          <w:i/>
          <w:color w:val="000000"/>
          <w:kern w:val="0"/>
          <w:szCs w:val="22"/>
          <w:lang w:eastAsia="en-US"/>
        </w:rPr>
        <w:t xml:space="preserve">: </w:t>
      </w:r>
      <w:r w:rsidRPr="00D27FB7">
        <w:rPr>
          <w:rFonts w:eastAsia="Calibri"/>
          <w:i/>
          <w:kern w:val="0"/>
          <w:szCs w:val="22"/>
          <w:u w:val="single"/>
          <w:lang w:eastAsia="en-US"/>
        </w:rPr>
        <w:t>polubrat@mail.ru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 xml:space="preserve">Ежегодно производится более 500 тыс. т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азокрасителей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. Большая часть от этого количества попадает в водоемы, что приводит к снижению прозрачности воды и, тем самым, </w:t>
      </w:r>
      <w:r>
        <w:rPr>
          <w:rFonts w:eastAsia="Calibri"/>
          <w:kern w:val="0"/>
          <w:szCs w:val="22"/>
          <w:lang w:eastAsia="en-US"/>
        </w:rPr>
        <w:t>негативно влияет</w:t>
      </w:r>
      <w:r w:rsidRPr="00D27FB7">
        <w:rPr>
          <w:rFonts w:eastAsia="Calibri"/>
          <w:kern w:val="0"/>
          <w:szCs w:val="22"/>
          <w:lang w:eastAsia="en-US"/>
        </w:rPr>
        <w:t xml:space="preserve"> на экосистему. Среди </w:t>
      </w:r>
      <w:proofErr w:type="gramStart"/>
      <w:r w:rsidRPr="00D27FB7">
        <w:rPr>
          <w:rFonts w:eastAsia="Calibri"/>
          <w:kern w:val="0"/>
          <w:szCs w:val="22"/>
          <w:lang w:eastAsia="en-US"/>
        </w:rPr>
        <w:t>распространённых</w:t>
      </w:r>
      <w:proofErr w:type="gramEnd"/>
      <w:r w:rsidRPr="00D27FB7">
        <w:rPr>
          <w:rFonts w:eastAsia="Calibri"/>
          <w:kern w:val="0"/>
          <w:szCs w:val="22"/>
          <w:lang w:eastAsia="en-US"/>
        </w:rPr>
        <w:t xml:space="preserve"> пищевых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азокрасителей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выделяется относительно токсичный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, который отличается стабильностью и высоким коэффициентом экстинкции [1].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 xml:space="preserve">Высокая стабильность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обуславливает неэффективность биологических методов для удаления его из воды. Удаление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может проводиться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ресурс</w:t>
      </w:r>
      <w:proofErr w:type="gramStart"/>
      <w:r w:rsidRPr="00D27FB7">
        <w:rPr>
          <w:rFonts w:eastAsia="Calibri"/>
          <w:kern w:val="0"/>
          <w:szCs w:val="22"/>
          <w:lang w:eastAsia="en-US"/>
        </w:rPr>
        <w:t>о</w:t>
      </w:r>
      <w:proofErr w:type="spellEnd"/>
      <w:r>
        <w:rPr>
          <w:rFonts w:eastAsia="Calibri"/>
          <w:kern w:val="0"/>
          <w:szCs w:val="22"/>
          <w:lang w:eastAsia="en-US"/>
        </w:rPr>
        <w:t>-</w:t>
      </w:r>
      <w:proofErr w:type="gramEnd"/>
      <w:r w:rsidRPr="00D27FB7">
        <w:rPr>
          <w:rFonts w:eastAsia="Calibri"/>
          <w:kern w:val="0"/>
          <w:szCs w:val="22"/>
          <w:lang w:eastAsia="en-US"/>
        </w:rPr>
        <w:t xml:space="preserve"> 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энергозатратными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методами (озонирование, плазменная обработка, окисление) [2]. Альтернативными методами являются адсорбция 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фотокатализ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 xml:space="preserve">Перспективными материалами для удаления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являются </w:t>
      </w:r>
      <w:proofErr w:type="gramStart"/>
      <w:r w:rsidRPr="00D27FB7">
        <w:rPr>
          <w:rFonts w:eastAsia="Calibri"/>
          <w:kern w:val="0"/>
          <w:szCs w:val="22"/>
          <w:lang w:eastAsia="en-US"/>
        </w:rPr>
        <w:t>металл-органические</w:t>
      </w:r>
      <w:proofErr w:type="gramEnd"/>
      <w:r w:rsidRPr="00D27FB7">
        <w:rPr>
          <w:rFonts w:eastAsia="Calibri"/>
          <w:kern w:val="0"/>
          <w:szCs w:val="22"/>
          <w:lang w:eastAsia="en-US"/>
        </w:rPr>
        <w:t xml:space="preserve"> каркасы (</w:t>
      </w:r>
      <w:r w:rsidRPr="00D27FB7">
        <w:rPr>
          <w:rFonts w:eastAsia="Calibri"/>
          <w:kern w:val="0"/>
          <w:szCs w:val="22"/>
          <w:lang w:val="en-US" w:eastAsia="en-US"/>
        </w:rPr>
        <w:t>MOF</w:t>
      </w:r>
      <w:r w:rsidRPr="00D27FB7">
        <w:rPr>
          <w:rFonts w:eastAsia="Calibri"/>
          <w:kern w:val="0"/>
          <w:szCs w:val="22"/>
          <w:lang w:eastAsia="en-US"/>
        </w:rPr>
        <w:t xml:space="preserve">) или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нанонористые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координационные полимеры. Структура </w:t>
      </w:r>
      <w:r w:rsidRPr="00D27FB7">
        <w:rPr>
          <w:rFonts w:eastAsia="Calibri"/>
          <w:kern w:val="0"/>
          <w:szCs w:val="22"/>
          <w:lang w:val="en-US" w:eastAsia="en-US"/>
        </w:rPr>
        <w:t>MOF</w:t>
      </w:r>
      <w:r w:rsidRPr="00D27FB7">
        <w:rPr>
          <w:rFonts w:eastAsia="Calibri"/>
          <w:kern w:val="0"/>
          <w:szCs w:val="22"/>
          <w:lang w:eastAsia="en-US"/>
        </w:rPr>
        <w:t xml:space="preserve"> образована ионами или малыми кластерами металлов соединенными органическими линкерами. В настоящей работе исследованы структуры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и (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)-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-66 на основе кластеров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Zr</w:t>
      </w:r>
      <w:proofErr w:type="spellEnd"/>
      <w:r w:rsidRPr="00D27FB7">
        <w:rPr>
          <w:rFonts w:eastAsia="Calibri"/>
          <w:kern w:val="0"/>
          <w:szCs w:val="22"/>
          <w:vertAlign w:val="subscript"/>
          <w:lang w:eastAsia="en-US"/>
        </w:rPr>
        <w:t>6</w:t>
      </w:r>
      <w:r w:rsidRPr="00D27FB7">
        <w:rPr>
          <w:rFonts w:eastAsia="Calibri"/>
          <w:kern w:val="0"/>
          <w:szCs w:val="22"/>
          <w:lang w:val="en-US" w:eastAsia="en-US"/>
        </w:rPr>
        <w:t>O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8</w:t>
      </w:r>
      <w:r w:rsidRPr="00D27FB7">
        <w:rPr>
          <w:rFonts w:eastAsia="Calibri"/>
          <w:kern w:val="0"/>
          <w:szCs w:val="22"/>
          <w:lang w:eastAsia="en-US"/>
        </w:rPr>
        <w:t xml:space="preserve"> и бензол-1,4-дикарбоксилатных и 2-аминобензол-1,4-дикарбоксилатных линкеров [3]. Материал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отличается высокой удельной поверхностью (до 1160 м</w:t>
      </w:r>
      <w:proofErr w:type="gramStart"/>
      <w:r w:rsidRPr="00D27FB7">
        <w:rPr>
          <w:rFonts w:eastAsia="Calibri"/>
          <w:kern w:val="0"/>
          <w:szCs w:val="22"/>
          <w:vertAlign w:val="superscript"/>
          <w:lang w:eastAsia="en-US"/>
        </w:rPr>
        <w:t>2</w:t>
      </w:r>
      <w:proofErr w:type="gramEnd"/>
      <w:r w:rsidRPr="00D27FB7">
        <w:rPr>
          <w:rFonts w:eastAsia="Calibri"/>
          <w:kern w:val="0"/>
          <w:szCs w:val="22"/>
          <w:lang w:eastAsia="en-US"/>
        </w:rPr>
        <w:t>/г) термической (до 500 </w:t>
      </w:r>
      <w:r>
        <w:rPr>
          <w:rFonts w:eastAsia="Calibri"/>
          <w:kern w:val="0"/>
          <w:szCs w:val="22"/>
          <w:lang w:eastAsia="en-US"/>
        </w:rPr>
        <w:t>°</w:t>
      </w:r>
      <w:r w:rsidRPr="00D27FB7">
        <w:rPr>
          <w:rFonts w:eastAsia="Calibri"/>
          <w:kern w:val="0"/>
          <w:szCs w:val="22"/>
          <w:lang w:eastAsia="en-US"/>
        </w:rPr>
        <w:t xml:space="preserve">С), радиационной и химической стабильностью, а также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фотокаталитической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активностью.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>Образцы (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)-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были синтезированы в условиях СВЧ-активации реакционной массы согласно оригинальным методикам. Контроль морфологии и текстурных свойств (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)-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достигался за счет выбора параметров синтеза. Так, удельная поверхность (БЭТ) варьировалась в диапазоне 269</w:t>
      </w:r>
      <w:r w:rsidRPr="00D27FB7">
        <w:rPr>
          <w:rFonts w:eastAsia="Calibri"/>
          <w:noProof/>
          <w:color w:val="000000"/>
          <w:kern w:val="0"/>
          <w:szCs w:val="22"/>
          <w:lang w:eastAsia="en-US"/>
        </w:rPr>
        <w:t>–</w:t>
      </w:r>
      <w:r w:rsidRPr="00D27FB7">
        <w:rPr>
          <w:rFonts w:eastAsia="Calibri"/>
          <w:kern w:val="0"/>
          <w:szCs w:val="22"/>
          <w:lang w:eastAsia="en-US"/>
        </w:rPr>
        <w:t>1045 м</w:t>
      </w:r>
      <w:proofErr w:type="gramStart"/>
      <w:r w:rsidRPr="00D27FB7">
        <w:rPr>
          <w:rFonts w:eastAsia="Calibri"/>
          <w:kern w:val="0"/>
          <w:szCs w:val="22"/>
          <w:vertAlign w:val="superscript"/>
          <w:lang w:eastAsia="en-US"/>
        </w:rPr>
        <w:t>2</w:t>
      </w:r>
      <w:proofErr w:type="gramEnd"/>
      <w:r w:rsidRPr="00D27FB7">
        <w:rPr>
          <w:rFonts w:eastAsia="Calibri"/>
          <w:kern w:val="0"/>
          <w:szCs w:val="22"/>
          <w:lang w:eastAsia="en-US"/>
        </w:rPr>
        <w:t xml:space="preserve">/г, объемная доля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мезопор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— 13</w:t>
      </w:r>
      <w:r w:rsidRPr="00D27FB7">
        <w:rPr>
          <w:rFonts w:eastAsia="Calibri"/>
          <w:noProof/>
          <w:color w:val="000000"/>
          <w:kern w:val="0"/>
          <w:szCs w:val="22"/>
          <w:lang w:eastAsia="en-US"/>
        </w:rPr>
        <w:t>–</w:t>
      </w:r>
      <w:r w:rsidRPr="00D27FB7">
        <w:rPr>
          <w:rFonts w:eastAsia="Calibri"/>
          <w:kern w:val="0"/>
          <w:szCs w:val="22"/>
          <w:lang w:eastAsia="en-US"/>
        </w:rPr>
        <w:t>92 %, размер частиц — 6</w:t>
      </w:r>
      <w:r w:rsidRPr="00D27FB7">
        <w:rPr>
          <w:rFonts w:eastAsia="Calibri"/>
          <w:noProof/>
          <w:color w:val="000000"/>
          <w:kern w:val="0"/>
          <w:szCs w:val="22"/>
          <w:lang w:eastAsia="en-US"/>
        </w:rPr>
        <w:t>–</w:t>
      </w:r>
      <w:r w:rsidRPr="00D27FB7">
        <w:rPr>
          <w:rFonts w:eastAsia="Calibri"/>
          <w:kern w:val="0"/>
          <w:szCs w:val="22"/>
          <w:lang w:eastAsia="en-US"/>
        </w:rPr>
        <w:t>250 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нм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 xml:space="preserve">Кинетические и термодинамические параметры процессов адсорбционного 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фотокаталитического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удаления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материалами (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)-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изучены в статических условиях (</w:t>
      </w:r>
      <w:r w:rsidRPr="00674565">
        <w:rPr>
          <w:rFonts w:eastAsia="Calibri"/>
          <w:i/>
          <w:iCs/>
          <w:kern w:val="0"/>
          <w:szCs w:val="22"/>
          <w:lang w:eastAsia="en-US"/>
        </w:rPr>
        <w:t>С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0</w:t>
      </w:r>
      <w:r w:rsidRPr="00D27FB7">
        <w:rPr>
          <w:rFonts w:eastAsia="Calibri"/>
          <w:kern w:val="0"/>
          <w:szCs w:val="22"/>
          <w:lang w:eastAsia="en-US"/>
        </w:rPr>
        <w:t xml:space="preserve"> = 10 мг/л, </w:t>
      </w:r>
      <w:r w:rsidRPr="00D27FB7">
        <w:rPr>
          <w:rFonts w:eastAsia="Calibri"/>
          <w:kern w:val="0"/>
          <w:szCs w:val="22"/>
          <w:lang w:val="en-US" w:eastAsia="en-US"/>
        </w:rPr>
        <w:t>pH</w:t>
      </w:r>
      <w:r w:rsidRPr="00D27FB7">
        <w:rPr>
          <w:rFonts w:eastAsia="Calibri"/>
          <w:kern w:val="0"/>
          <w:szCs w:val="22"/>
          <w:lang w:eastAsia="en-US"/>
        </w:rPr>
        <w:t xml:space="preserve"> = 6.9, </w:t>
      </w:r>
      <w:r w:rsidRPr="00674565">
        <w:rPr>
          <w:rFonts w:eastAsia="Calibri"/>
          <w:i/>
          <w:iCs/>
          <w:kern w:val="0"/>
          <w:szCs w:val="22"/>
          <w:lang w:eastAsia="en-US"/>
        </w:rPr>
        <w:t>Т</w:t>
      </w:r>
      <w:r w:rsidRPr="00D27FB7">
        <w:rPr>
          <w:rFonts w:eastAsia="Calibri"/>
          <w:kern w:val="0"/>
          <w:szCs w:val="22"/>
          <w:lang w:eastAsia="en-US"/>
        </w:rPr>
        <w:t xml:space="preserve"> = 25</w:t>
      </w:r>
      <w:proofErr w:type="gramStart"/>
      <w:r w:rsidRPr="00D27FB7">
        <w:rPr>
          <w:rFonts w:eastAsia="Calibri"/>
          <w:kern w:val="0"/>
          <w:szCs w:val="22"/>
          <w:lang w:eastAsia="en-US"/>
        </w:rPr>
        <w:t> </w:t>
      </w:r>
      <w:r>
        <w:rPr>
          <w:rFonts w:eastAsia="Calibri"/>
          <w:kern w:val="0"/>
          <w:szCs w:val="22"/>
          <w:lang w:eastAsia="en-US"/>
        </w:rPr>
        <w:t>°</w:t>
      </w:r>
      <w:proofErr w:type="gramEnd"/>
      <w:r w:rsidRPr="00D27FB7">
        <w:rPr>
          <w:rFonts w:eastAsia="Calibri"/>
          <w:kern w:val="0"/>
          <w:szCs w:val="22"/>
          <w:lang w:eastAsia="en-US"/>
        </w:rPr>
        <w:t xml:space="preserve">С, </w:t>
      </w:r>
      <w:r w:rsidRPr="00674565">
        <w:rPr>
          <w:rFonts w:eastAsia="Calibri"/>
          <w:i/>
          <w:iCs/>
          <w:kern w:val="0"/>
          <w:szCs w:val="22"/>
          <w:lang w:val="en-US" w:eastAsia="en-US"/>
        </w:rPr>
        <w:t>I</w:t>
      </w:r>
      <w:r w:rsidRPr="00D27FB7">
        <w:rPr>
          <w:rFonts w:eastAsia="Calibri"/>
          <w:kern w:val="0"/>
          <w:szCs w:val="22"/>
          <w:lang w:eastAsia="en-US"/>
        </w:rPr>
        <w:t xml:space="preserve"> = 0.5</w:t>
      </w:r>
      <w:r>
        <w:rPr>
          <w:rFonts w:eastAsia="Calibri"/>
          <w:kern w:val="0"/>
          <w:szCs w:val="22"/>
          <w:lang w:eastAsia="en-US"/>
        </w:rPr>
        <w:t> </w:t>
      </w:r>
      <w:r w:rsidRPr="00D27FB7">
        <w:rPr>
          <w:rFonts w:eastAsia="Calibri"/>
          <w:kern w:val="0"/>
          <w:szCs w:val="22"/>
          <w:lang w:eastAsia="en-US"/>
        </w:rPr>
        <w:t xml:space="preserve">М). Установлено, что процесс адсорбции подчиняется модели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Ленгмюра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и кинетической модели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псевдовторого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порядка, а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фотокатализа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— модели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Ленгмюра</w:t>
      </w:r>
      <w:proofErr w:type="spellEnd"/>
      <w:r>
        <w:rPr>
          <w:rFonts w:eastAsia="Calibri"/>
          <w:kern w:val="0"/>
          <w:szCs w:val="22"/>
          <w:lang w:eastAsia="en-US"/>
        </w:rPr>
        <w:t xml:space="preserve"> –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Хиншельвуда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. 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kern w:val="0"/>
          <w:szCs w:val="22"/>
          <w:lang w:eastAsia="en-US"/>
        </w:rPr>
      </w:pPr>
      <w:r w:rsidRPr="00D27FB7">
        <w:rPr>
          <w:rFonts w:eastAsia="Calibri"/>
          <w:kern w:val="0"/>
          <w:szCs w:val="22"/>
          <w:lang w:eastAsia="en-US"/>
        </w:rPr>
        <w:t>Материалы (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)-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-66 отличаются высокой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фотокаталитической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активностью (степень удаления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тартразина</w:t>
      </w:r>
      <w:proofErr w:type="spellEnd"/>
      <w:r w:rsidRPr="00D27FB7">
        <w:rPr>
          <w:rFonts w:eastAsia="Calibri"/>
          <w:kern w:val="0"/>
          <w:szCs w:val="22"/>
          <w:lang w:eastAsia="en-US"/>
        </w:rPr>
        <w:t xml:space="preserve"> &gt;</w:t>
      </w:r>
      <w:r>
        <w:rPr>
          <w:rFonts w:eastAsia="Calibri"/>
          <w:kern w:val="0"/>
          <w:szCs w:val="22"/>
          <w:lang w:val="en-US" w:eastAsia="en-US"/>
        </w:rPr>
        <w:t> </w:t>
      </w:r>
      <w:r w:rsidRPr="00D27FB7">
        <w:rPr>
          <w:rFonts w:eastAsia="Calibri"/>
          <w:kern w:val="0"/>
          <w:szCs w:val="22"/>
          <w:lang w:eastAsia="en-US"/>
        </w:rPr>
        <w:t>96 % за 1 ч). В сравнимых условиях, они превосходят все известные фотокатализаторы (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TiO</w:t>
      </w:r>
      <w:proofErr w:type="spellEnd"/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 xml:space="preserve">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ZnO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, LaFeO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3</w:t>
      </w:r>
      <w:r w:rsidRPr="00D27FB7">
        <w:rPr>
          <w:rFonts w:eastAsia="Calibri"/>
          <w:kern w:val="0"/>
          <w:szCs w:val="22"/>
          <w:lang w:eastAsia="en-US"/>
        </w:rPr>
        <w:t xml:space="preserve">). Рассчитанные термодинамические и кинетические параметры процессов указывают на целесообразность применения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в кратковременном (1-2 ч) процессе при температуре свыше 25 </w:t>
      </w:r>
      <w:r>
        <w:rPr>
          <w:rFonts w:eastAsia="Calibri"/>
          <w:kern w:val="0"/>
          <w:szCs w:val="22"/>
          <w:lang w:eastAsia="en-US"/>
        </w:rPr>
        <w:t>°</w:t>
      </w:r>
      <w:r w:rsidRPr="00D27FB7">
        <w:rPr>
          <w:rFonts w:eastAsia="Calibri"/>
          <w:kern w:val="0"/>
          <w:szCs w:val="22"/>
          <w:lang w:eastAsia="en-US"/>
        </w:rPr>
        <w:t xml:space="preserve">С, а для материала </w:t>
      </w:r>
      <w:r w:rsidRPr="00D27FB7">
        <w:rPr>
          <w:rFonts w:eastAsia="Calibri"/>
          <w:kern w:val="0"/>
          <w:szCs w:val="22"/>
          <w:lang w:val="en-US" w:eastAsia="en-US"/>
        </w:rPr>
        <w:t>NH</w:t>
      </w:r>
      <w:r w:rsidRPr="00D27FB7">
        <w:rPr>
          <w:rFonts w:eastAsia="Calibri"/>
          <w:kern w:val="0"/>
          <w:szCs w:val="22"/>
          <w:vertAlign w:val="subscript"/>
          <w:lang w:eastAsia="en-US"/>
        </w:rPr>
        <w:t>2</w:t>
      </w:r>
      <w:r w:rsidRPr="00D27FB7">
        <w:rPr>
          <w:rFonts w:eastAsia="Calibri"/>
          <w:kern w:val="0"/>
          <w:szCs w:val="22"/>
          <w:lang w:eastAsia="en-US"/>
        </w:rPr>
        <w:t>-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UiO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-66 рекомендовано более продолжительное время контакта (2</w:t>
      </w:r>
      <w:r>
        <w:rPr>
          <w:rFonts w:eastAsia="Calibri"/>
          <w:kern w:val="0"/>
          <w:szCs w:val="22"/>
          <w:lang w:eastAsia="en-US"/>
        </w:rPr>
        <w:t>–</w:t>
      </w:r>
      <w:r w:rsidRPr="00D27FB7">
        <w:rPr>
          <w:rFonts w:eastAsia="Calibri"/>
          <w:kern w:val="0"/>
          <w:szCs w:val="22"/>
          <w:lang w:eastAsia="en-US"/>
        </w:rPr>
        <w:t xml:space="preserve">4 ч) при </w:t>
      </w:r>
      <w:r w:rsidRPr="00674565">
        <w:rPr>
          <w:rFonts w:eastAsia="Calibri"/>
          <w:i/>
          <w:iCs/>
          <w:kern w:val="0"/>
          <w:szCs w:val="22"/>
          <w:lang w:eastAsia="en-US"/>
        </w:rPr>
        <w:t>Т</w:t>
      </w:r>
      <w:r w:rsidRPr="00D27FB7">
        <w:rPr>
          <w:rFonts w:eastAsia="Calibri"/>
          <w:kern w:val="0"/>
          <w:szCs w:val="22"/>
          <w:lang w:eastAsia="en-US"/>
        </w:rPr>
        <w:t xml:space="preserve"> = 25 </w:t>
      </w:r>
      <w:r>
        <w:rPr>
          <w:rFonts w:eastAsia="Calibri"/>
          <w:kern w:val="0"/>
          <w:szCs w:val="22"/>
          <w:lang w:eastAsia="en-US"/>
        </w:rPr>
        <w:t>°</w:t>
      </w:r>
      <w:r w:rsidRPr="00D27FB7">
        <w:rPr>
          <w:rFonts w:eastAsia="Calibri"/>
          <w:kern w:val="0"/>
          <w:szCs w:val="22"/>
          <w:lang w:eastAsia="en-US"/>
        </w:rPr>
        <w:t>С.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i/>
          <w:kern w:val="0"/>
          <w:szCs w:val="22"/>
          <w:lang w:eastAsia="en-US"/>
        </w:rPr>
      </w:pPr>
      <w:r w:rsidRPr="00D27FB7">
        <w:rPr>
          <w:rFonts w:eastAsia="Calibri"/>
          <w:i/>
          <w:kern w:val="0"/>
          <w:szCs w:val="22"/>
          <w:lang w:eastAsia="en-US"/>
        </w:rPr>
        <w:t xml:space="preserve">Автор выражает благодарность научному руководителю д.х.н., </w:t>
      </w:r>
      <w:proofErr w:type="spellStart"/>
      <w:r w:rsidRPr="00D27FB7">
        <w:rPr>
          <w:rFonts w:eastAsia="Calibri"/>
          <w:i/>
          <w:kern w:val="0"/>
          <w:szCs w:val="22"/>
          <w:lang w:eastAsia="en-US"/>
        </w:rPr>
        <w:t>в.н.с</w:t>
      </w:r>
      <w:proofErr w:type="spellEnd"/>
      <w:r w:rsidRPr="00D27FB7">
        <w:rPr>
          <w:rFonts w:eastAsia="Calibri"/>
          <w:i/>
          <w:kern w:val="0"/>
          <w:szCs w:val="22"/>
          <w:lang w:eastAsia="en-US"/>
        </w:rPr>
        <w:t>. Исаевой В. И.</w:t>
      </w:r>
    </w:p>
    <w:p w:rsidR="00674565" w:rsidRPr="00D27FB7" w:rsidRDefault="00674565" w:rsidP="00674565">
      <w:pPr>
        <w:widowControl w:val="0"/>
        <w:ind w:firstLine="397"/>
        <w:contextualSpacing/>
        <w:jc w:val="both"/>
        <w:rPr>
          <w:rFonts w:eastAsia="Calibri"/>
          <w:i/>
          <w:kern w:val="0"/>
          <w:szCs w:val="22"/>
          <w:lang w:val="en-US" w:eastAsia="en-US"/>
        </w:rPr>
      </w:pPr>
      <w:r w:rsidRPr="00D27FB7">
        <w:rPr>
          <w:rFonts w:eastAsia="Calibri"/>
          <w:i/>
          <w:kern w:val="0"/>
          <w:szCs w:val="22"/>
          <w:lang w:eastAsia="en-US"/>
        </w:rPr>
        <w:t xml:space="preserve">Работа выполнена при поддержке </w:t>
      </w:r>
      <w:proofErr w:type="spellStart"/>
      <w:r w:rsidRPr="00D27FB7">
        <w:rPr>
          <w:rFonts w:eastAsia="Calibri"/>
          <w:i/>
          <w:kern w:val="0"/>
          <w:szCs w:val="22"/>
          <w:lang w:eastAsia="en-US"/>
        </w:rPr>
        <w:t>Минобрнауки</w:t>
      </w:r>
      <w:proofErr w:type="spellEnd"/>
      <w:r w:rsidRPr="00D27FB7">
        <w:rPr>
          <w:rFonts w:eastAsia="Calibri"/>
          <w:i/>
          <w:kern w:val="0"/>
          <w:szCs w:val="22"/>
          <w:lang w:eastAsia="en-US"/>
        </w:rPr>
        <w:t xml:space="preserve"> РФ, проект №. </w:t>
      </w:r>
      <w:r w:rsidRPr="00D27FB7">
        <w:rPr>
          <w:rFonts w:eastAsia="Calibri"/>
          <w:i/>
          <w:kern w:val="0"/>
          <w:szCs w:val="22"/>
          <w:lang w:val="en-US" w:eastAsia="en-US"/>
        </w:rPr>
        <w:t>075-15-2021-591.</w:t>
      </w:r>
    </w:p>
    <w:p w:rsidR="00674565" w:rsidRPr="00D27FB7" w:rsidRDefault="00674565" w:rsidP="00674565">
      <w:pPr>
        <w:widowControl w:val="0"/>
        <w:ind w:firstLine="397"/>
        <w:contextualSpacing/>
        <w:jc w:val="center"/>
        <w:rPr>
          <w:rFonts w:eastAsia="Calibri"/>
          <w:b/>
          <w:kern w:val="0"/>
          <w:szCs w:val="22"/>
          <w:lang w:val="en-US" w:eastAsia="en-US"/>
        </w:rPr>
      </w:pPr>
      <w:r w:rsidRPr="00D27FB7">
        <w:rPr>
          <w:rFonts w:eastAsia="Calibri"/>
          <w:b/>
          <w:kern w:val="0"/>
          <w:szCs w:val="22"/>
          <w:lang w:eastAsia="en-US"/>
        </w:rPr>
        <w:t>Литература</w:t>
      </w:r>
    </w:p>
    <w:p w:rsidR="00674565" w:rsidRPr="00D27FB7" w:rsidRDefault="00674565" w:rsidP="00674565">
      <w:pPr>
        <w:widowControl w:val="0"/>
        <w:contextualSpacing/>
        <w:jc w:val="both"/>
        <w:rPr>
          <w:rFonts w:eastAsia="Calibri"/>
          <w:kern w:val="0"/>
          <w:szCs w:val="22"/>
          <w:lang w:val="en-US" w:eastAsia="en-US"/>
        </w:rPr>
      </w:pPr>
      <w:r w:rsidRPr="00D27FB7">
        <w:rPr>
          <w:rFonts w:eastAsia="Calibri"/>
          <w:kern w:val="0"/>
          <w:szCs w:val="22"/>
          <w:lang w:val="en-US" w:eastAsia="en-US"/>
        </w:rPr>
        <w:t xml:space="preserve">1.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Himri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M.,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Bellahcen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S.,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Souna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F. et al. A 90 day oral toxicity study of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tartrazine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, a synthetic food dye, in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wistar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rats // Int. J. of Pharmacy and Pharmaceutical Sci. 2011. Vol. 3. P. 40</w:t>
      </w:r>
      <w:r w:rsidRPr="00674565">
        <w:rPr>
          <w:rFonts w:eastAsia="Calibri"/>
          <w:kern w:val="0"/>
          <w:szCs w:val="22"/>
          <w:lang w:val="en-US" w:eastAsia="en-US"/>
        </w:rPr>
        <w:t xml:space="preserve"> – </w:t>
      </w:r>
      <w:r w:rsidRPr="00D27FB7">
        <w:rPr>
          <w:rFonts w:eastAsia="Calibri"/>
          <w:kern w:val="0"/>
          <w:szCs w:val="22"/>
          <w:lang w:val="en-US" w:eastAsia="en-US"/>
        </w:rPr>
        <w:t>42.</w:t>
      </w:r>
    </w:p>
    <w:p w:rsidR="00674565" w:rsidRPr="00D27FB7" w:rsidRDefault="00674565" w:rsidP="00674565">
      <w:pPr>
        <w:widowControl w:val="0"/>
        <w:contextualSpacing/>
        <w:jc w:val="both"/>
        <w:rPr>
          <w:rFonts w:eastAsia="Calibri"/>
          <w:kern w:val="0"/>
          <w:szCs w:val="22"/>
          <w:lang w:val="en-US" w:eastAsia="en-US"/>
        </w:rPr>
      </w:pPr>
      <w:r w:rsidRPr="00D27FB7">
        <w:rPr>
          <w:rFonts w:eastAsia="Calibri"/>
          <w:kern w:val="0"/>
          <w:szCs w:val="22"/>
          <w:lang w:val="en-US" w:eastAsia="en-US"/>
        </w:rPr>
        <w:t xml:space="preserve">2.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Pirvu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F.,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Iancu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V.,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Niculescu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M. et al. Environmental detection of brilliant blue, sunset yellow and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tartrazine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using direct injection HPLC-DAD Technique // Rev.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Chim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>. 2020. Vol. 71. P. 390</w:t>
      </w:r>
      <w:r w:rsidRPr="00855E67">
        <w:rPr>
          <w:rFonts w:eastAsia="Calibri"/>
          <w:kern w:val="0"/>
          <w:szCs w:val="22"/>
          <w:lang w:val="en-US" w:eastAsia="en-US"/>
        </w:rPr>
        <w:t xml:space="preserve"> – </w:t>
      </w:r>
      <w:r w:rsidRPr="00D27FB7">
        <w:rPr>
          <w:rFonts w:eastAsia="Calibri"/>
          <w:kern w:val="0"/>
          <w:szCs w:val="22"/>
          <w:lang w:val="en-US" w:eastAsia="en-US"/>
        </w:rPr>
        <w:t>400.</w:t>
      </w:r>
    </w:p>
    <w:p w:rsidR="00BC2663" w:rsidRPr="00674565" w:rsidRDefault="00674565" w:rsidP="00674565">
      <w:pPr>
        <w:rPr>
          <w:lang w:val="en-US"/>
        </w:rPr>
      </w:pPr>
      <w:r w:rsidRPr="00D27FB7">
        <w:rPr>
          <w:rFonts w:eastAsia="Calibri"/>
          <w:kern w:val="0"/>
          <w:szCs w:val="22"/>
          <w:lang w:val="en-US" w:eastAsia="en-US"/>
        </w:rPr>
        <w:t xml:space="preserve">3.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Cavka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J.,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Jakobsen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S., </w:t>
      </w:r>
      <w:proofErr w:type="spellStart"/>
      <w:r w:rsidRPr="00D27FB7">
        <w:rPr>
          <w:rFonts w:eastAsia="Calibri"/>
          <w:kern w:val="0"/>
          <w:szCs w:val="22"/>
          <w:lang w:val="en-US" w:eastAsia="en-US"/>
        </w:rPr>
        <w:t>Olsbye</w:t>
      </w:r>
      <w:proofErr w:type="spellEnd"/>
      <w:r w:rsidRPr="00D27FB7">
        <w:rPr>
          <w:rFonts w:eastAsia="Calibri"/>
          <w:kern w:val="0"/>
          <w:szCs w:val="22"/>
          <w:lang w:val="en-US" w:eastAsia="en-US"/>
        </w:rPr>
        <w:t xml:space="preserve"> U. et al. A new zirconium inorganic building brick forming metal-organic frameworks with exceptional stability // J. American Chem. Soc. Com. 2008. </w:t>
      </w:r>
      <w:proofErr w:type="spellStart"/>
      <w:r w:rsidRPr="00D27FB7">
        <w:rPr>
          <w:rFonts w:eastAsia="Calibri"/>
          <w:kern w:val="0"/>
          <w:szCs w:val="22"/>
          <w:lang w:eastAsia="en-US"/>
        </w:rPr>
        <w:t>Vol</w:t>
      </w:r>
      <w:proofErr w:type="spellEnd"/>
      <w:r w:rsidRPr="00D27FB7">
        <w:rPr>
          <w:rFonts w:eastAsia="Calibri"/>
          <w:kern w:val="0"/>
          <w:szCs w:val="22"/>
          <w:lang w:eastAsia="en-US"/>
        </w:rPr>
        <w:t>. 140. P. 1</w:t>
      </w:r>
      <w:r>
        <w:rPr>
          <w:rFonts w:eastAsia="Calibri"/>
          <w:kern w:val="0"/>
          <w:szCs w:val="22"/>
          <w:lang w:eastAsia="en-US"/>
        </w:rPr>
        <w:t xml:space="preserve"> – </w:t>
      </w:r>
      <w:r w:rsidRPr="00D27FB7">
        <w:rPr>
          <w:rFonts w:eastAsia="Calibri"/>
          <w:kern w:val="0"/>
          <w:szCs w:val="22"/>
          <w:lang w:eastAsia="en-US"/>
        </w:rPr>
        <w:t>42.</w:t>
      </w:r>
      <w:bookmarkStart w:id="0" w:name="_GoBack"/>
      <w:bookmarkEnd w:id="0"/>
    </w:p>
    <w:sectPr w:rsidR="00BC2663" w:rsidRPr="0067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65"/>
    <w:rsid w:val="00674565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7456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745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6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7456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745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65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2023-03-09T10:10:00Z</dcterms:created>
  <dcterms:modified xsi:type="dcterms:W3CDTF">2023-03-09T10:11:00Z</dcterms:modified>
</cp:coreProperties>
</file>