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12E" w:rsidRDefault="00A8312E" w:rsidP="00A8312E">
      <w:pPr>
        <w:pStyle w:val="a4"/>
        <w:spacing w:before="0" w:beforeAutospacing="0" w:after="0" w:afterAutospacing="0"/>
        <w:ind w:firstLine="397"/>
        <w:jc w:val="center"/>
        <w:rPr>
          <w:b/>
          <w:bCs/>
        </w:rPr>
      </w:pPr>
      <w:r w:rsidRPr="00CF4B8D">
        <w:rPr>
          <w:b/>
          <w:bCs/>
        </w:rPr>
        <w:t xml:space="preserve">Исследование механизма действия </w:t>
      </w:r>
      <w:proofErr w:type="spellStart"/>
      <w:r w:rsidRPr="00CF4B8D">
        <w:rPr>
          <w:b/>
          <w:bCs/>
        </w:rPr>
        <w:t>нанозимов</w:t>
      </w:r>
      <w:proofErr w:type="spellEnd"/>
      <w:r w:rsidRPr="00CF4B8D">
        <w:rPr>
          <w:b/>
          <w:bCs/>
        </w:rPr>
        <w:t xml:space="preserve"> «</w:t>
      </w:r>
      <w:proofErr w:type="gramStart"/>
      <w:r w:rsidRPr="00CF4B8D">
        <w:rPr>
          <w:b/>
          <w:bCs/>
        </w:rPr>
        <w:t>искусственная</w:t>
      </w:r>
      <w:proofErr w:type="gramEnd"/>
      <w:r w:rsidRPr="00CF4B8D">
        <w:rPr>
          <w:b/>
          <w:bCs/>
        </w:rPr>
        <w:t xml:space="preserve"> </w:t>
      </w:r>
      <w:proofErr w:type="spellStart"/>
      <w:r w:rsidRPr="00CF4B8D">
        <w:rPr>
          <w:b/>
          <w:bCs/>
        </w:rPr>
        <w:t>пероксидаза</w:t>
      </w:r>
      <w:proofErr w:type="spellEnd"/>
      <w:r w:rsidRPr="00CF4B8D">
        <w:rPr>
          <w:b/>
          <w:bCs/>
        </w:rPr>
        <w:t xml:space="preserve">» </w:t>
      </w:r>
    </w:p>
    <w:p w:rsidR="00A8312E" w:rsidRPr="00CF4B8D" w:rsidRDefault="00A8312E" w:rsidP="00A8312E">
      <w:pPr>
        <w:pStyle w:val="a4"/>
        <w:spacing w:before="0" w:beforeAutospacing="0" w:after="0" w:afterAutospacing="0"/>
        <w:ind w:firstLine="397"/>
        <w:jc w:val="center"/>
        <w:rPr>
          <w:rFonts w:eastAsia="Calibri"/>
          <w:b/>
          <w:bCs/>
          <w:lang w:eastAsia="en-US"/>
        </w:rPr>
      </w:pPr>
      <w:r w:rsidRPr="00CF4B8D">
        <w:rPr>
          <w:b/>
          <w:bCs/>
        </w:rPr>
        <w:t>на основе берлинской лазури</w:t>
      </w:r>
    </w:p>
    <w:p w:rsidR="00A8312E" w:rsidRPr="000B4C0D" w:rsidRDefault="00A8312E" w:rsidP="00A8312E">
      <w:pPr>
        <w:jc w:val="center"/>
        <w:rPr>
          <w:b/>
          <w:bCs/>
          <w:i/>
        </w:rPr>
      </w:pPr>
      <w:proofErr w:type="spellStart"/>
      <w:r w:rsidRPr="00623692">
        <w:rPr>
          <w:b/>
          <w:bCs/>
          <w:i/>
        </w:rPr>
        <w:t>Шнейдерман</w:t>
      </w:r>
      <w:proofErr w:type="spellEnd"/>
      <w:r w:rsidRPr="00623692">
        <w:rPr>
          <w:b/>
          <w:bCs/>
          <w:i/>
        </w:rPr>
        <w:t xml:space="preserve"> А.А.</w:t>
      </w:r>
      <w:r w:rsidRPr="00623692">
        <w:rPr>
          <w:b/>
          <w:bCs/>
          <w:i/>
          <w:vertAlign w:val="superscript"/>
        </w:rPr>
        <w:t>1</w:t>
      </w:r>
      <w:r w:rsidRPr="00623692">
        <w:rPr>
          <w:b/>
          <w:bCs/>
          <w:i/>
        </w:rPr>
        <w:t xml:space="preserve">, </w:t>
      </w:r>
      <w:proofErr w:type="spellStart"/>
      <w:r w:rsidRPr="00623692">
        <w:rPr>
          <w:b/>
          <w:bCs/>
          <w:i/>
        </w:rPr>
        <w:t>Комкова</w:t>
      </w:r>
      <w:proofErr w:type="spellEnd"/>
      <w:r w:rsidRPr="00623692">
        <w:rPr>
          <w:b/>
          <w:bCs/>
          <w:i/>
        </w:rPr>
        <w:t xml:space="preserve"> М.А.</w:t>
      </w:r>
      <w:r w:rsidRPr="00623692">
        <w:rPr>
          <w:b/>
          <w:bCs/>
          <w:i/>
          <w:vertAlign w:val="superscript"/>
        </w:rPr>
        <w:t>2</w:t>
      </w:r>
      <w:r>
        <w:rPr>
          <w:b/>
          <w:bCs/>
          <w:i/>
        </w:rPr>
        <w:t>, Карякин А.А.</w:t>
      </w:r>
      <w:r w:rsidRPr="00623692">
        <w:rPr>
          <w:b/>
          <w:bCs/>
          <w:i/>
          <w:vertAlign w:val="superscript"/>
        </w:rPr>
        <w:t>2</w:t>
      </w:r>
    </w:p>
    <w:p w:rsidR="00A8312E" w:rsidRPr="00623692" w:rsidRDefault="00A8312E" w:rsidP="00A8312E">
      <w:pPr>
        <w:pStyle w:val="a4"/>
        <w:spacing w:before="0" w:beforeAutospacing="0" w:after="0" w:afterAutospacing="0"/>
        <w:ind w:firstLine="397"/>
        <w:jc w:val="center"/>
        <w:rPr>
          <w:rFonts w:eastAsia="Calibri"/>
          <w:i/>
          <w:lang w:eastAsia="en-US"/>
        </w:rPr>
      </w:pPr>
      <w:proofErr w:type="spellStart"/>
      <w:r>
        <w:rPr>
          <w:rFonts w:eastAsia="Calibri"/>
          <w:i/>
          <w:lang w:eastAsia="en-US"/>
        </w:rPr>
        <w:t>Магистрантка</w:t>
      </w:r>
      <w:proofErr w:type="spellEnd"/>
      <w:r w:rsidRPr="00623692">
        <w:rPr>
          <w:rFonts w:eastAsia="Calibri"/>
          <w:i/>
          <w:lang w:eastAsia="en-US"/>
        </w:rPr>
        <w:t xml:space="preserve">, 1 </w:t>
      </w:r>
      <w:r>
        <w:rPr>
          <w:rFonts w:eastAsia="Calibri"/>
          <w:i/>
          <w:lang w:eastAsia="en-US"/>
        </w:rPr>
        <w:t>год обучения</w:t>
      </w:r>
    </w:p>
    <w:p w:rsidR="00A8312E" w:rsidRDefault="00A8312E" w:rsidP="00A8312E">
      <w:pPr>
        <w:pStyle w:val="a4"/>
        <w:spacing w:before="0" w:beforeAutospacing="0" w:after="0" w:afterAutospacing="0"/>
        <w:ind w:firstLine="397"/>
        <w:jc w:val="center"/>
        <w:rPr>
          <w:rFonts w:eastAsia="Calibri"/>
          <w:i/>
          <w:lang w:eastAsia="en-US"/>
        </w:rPr>
      </w:pPr>
      <w:r w:rsidRPr="00623692">
        <w:rPr>
          <w:rFonts w:eastAsia="Calibri"/>
          <w:i/>
          <w:vertAlign w:val="superscript"/>
          <w:lang w:eastAsia="en-US"/>
        </w:rPr>
        <w:t>1</w:t>
      </w:r>
      <w:r w:rsidRPr="00623692">
        <w:rPr>
          <w:rFonts w:eastAsia="Calibri"/>
          <w:i/>
          <w:lang w:eastAsia="en-US"/>
        </w:rPr>
        <w:t>Московский государственный университет имени М.В. Ломоносова,</w:t>
      </w:r>
      <w:r w:rsidRPr="00623692">
        <w:rPr>
          <w:rFonts w:eastAsia="Calibri"/>
          <w:i/>
          <w:lang w:eastAsia="en-US"/>
        </w:rPr>
        <w:br/>
        <w:t>факультет наук о материалах, Москва, Россия</w:t>
      </w:r>
      <w:r w:rsidRPr="00623692">
        <w:rPr>
          <w:rFonts w:eastAsia="Calibri"/>
          <w:i/>
          <w:lang w:eastAsia="en-US"/>
        </w:rPr>
        <w:br/>
      </w:r>
      <w:r w:rsidRPr="00623692">
        <w:rPr>
          <w:rFonts w:eastAsia="Calibri"/>
          <w:i/>
          <w:vertAlign w:val="superscript"/>
          <w:lang w:eastAsia="en-US"/>
        </w:rPr>
        <w:t>2</w:t>
      </w:r>
      <w:r w:rsidRPr="00623692">
        <w:rPr>
          <w:rFonts w:eastAsia="Calibri"/>
          <w:i/>
          <w:lang w:eastAsia="en-US"/>
        </w:rPr>
        <w:t>Московский государственный университет имени М.В. Ломоносова,</w:t>
      </w:r>
      <w:r w:rsidRPr="00623692">
        <w:rPr>
          <w:rFonts w:eastAsia="Calibri"/>
          <w:i/>
          <w:lang w:eastAsia="en-US"/>
        </w:rPr>
        <w:br/>
        <w:t>химический факультет, Москва, Росси</w:t>
      </w:r>
      <w:r>
        <w:rPr>
          <w:rFonts w:eastAsia="Calibri"/>
          <w:i/>
          <w:lang w:eastAsia="en-US"/>
        </w:rPr>
        <w:t>я</w:t>
      </w:r>
    </w:p>
    <w:p w:rsidR="00A8312E" w:rsidRPr="00CF4B8D" w:rsidRDefault="00A8312E" w:rsidP="00A8312E">
      <w:pPr>
        <w:pStyle w:val="a4"/>
        <w:spacing w:before="0" w:beforeAutospacing="0" w:after="0" w:afterAutospacing="0"/>
        <w:ind w:firstLine="397"/>
        <w:jc w:val="center"/>
        <w:rPr>
          <w:rFonts w:eastAsia="Calibri"/>
          <w:i/>
          <w:u w:val="single"/>
          <w:lang w:eastAsia="en-US"/>
        </w:rPr>
      </w:pPr>
      <w:r w:rsidRPr="00CF4B8D">
        <w:rPr>
          <w:rFonts w:eastAsia="Calibri"/>
          <w:i/>
          <w:lang w:val="en-US" w:eastAsia="en-US"/>
        </w:rPr>
        <w:t>E</w:t>
      </w:r>
      <w:r w:rsidRPr="00CF4B8D">
        <w:rPr>
          <w:rFonts w:eastAsia="Calibri"/>
          <w:i/>
          <w:lang w:eastAsia="en-US"/>
        </w:rPr>
        <w:t>-</w:t>
      </w:r>
      <w:r w:rsidRPr="00CF4B8D">
        <w:rPr>
          <w:rFonts w:eastAsia="Calibri"/>
          <w:i/>
          <w:lang w:val="en-US" w:eastAsia="en-US"/>
        </w:rPr>
        <w:t>mail</w:t>
      </w:r>
      <w:r w:rsidRPr="00CF4B8D">
        <w:rPr>
          <w:rFonts w:eastAsia="Calibri"/>
          <w:i/>
          <w:lang w:eastAsia="en-US"/>
        </w:rPr>
        <w:t xml:space="preserve">: </w:t>
      </w:r>
      <w:hyperlink r:id="rId5" w:history="1">
        <w:r w:rsidRPr="00CF4B8D">
          <w:rPr>
            <w:rStyle w:val="a3"/>
            <w:rFonts w:eastAsia="Calibri"/>
            <w:i/>
            <w:lang w:val="en-US" w:eastAsia="en-US"/>
          </w:rPr>
          <w:t>aleshneiderman</w:t>
        </w:r>
        <w:r w:rsidRPr="00CF4B8D">
          <w:rPr>
            <w:rStyle w:val="a3"/>
            <w:rFonts w:eastAsia="Calibri"/>
            <w:i/>
            <w:lang w:eastAsia="en-US"/>
          </w:rPr>
          <w:t>@</w:t>
        </w:r>
        <w:r w:rsidRPr="00CF4B8D">
          <w:rPr>
            <w:rStyle w:val="a3"/>
            <w:rFonts w:eastAsia="Calibri"/>
            <w:i/>
            <w:lang w:val="en-US" w:eastAsia="en-US"/>
          </w:rPr>
          <w:t>gmail</w:t>
        </w:r>
        <w:r w:rsidRPr="00CF4B8D">
          <w:rPr>
            <w:rStyle w:val="a3"/>
            <w:rFonts w:eastAsia="Calibri"/>
            <w:i/>
            <w:lang w:eastAsia="en-US"/>
          </w:rPr>
          <w:t>.</w:t>
        </w:r>
        <w:r w:rsidRPr="00CF4B8D">
          <w:rPr>
            <w:rStyle w:val="a3"/>
            <w:rFonts w:eastAsia="Calibri"/>
            <w:i/>
            <w:lang w:val="en-US" w:eastAsia="en-US"/>
          </w:rPr>
          <w:t>com</w:t>
        </w:r>
      </w:hyperlink>
    </w:p>
    <w:p w:rsidR="00A8312E" w:rsidRDefault="00A8312E" w:rsidP="00A8312E">
      <w:pPr>
        <w:ind w:firstLine="397"/>
        <w:jc w:val="both"/>
      </w:pPr>
      <w:r>
        <w:t xml:space="preserve">Наиболее эффективным аналогом фермента </w:t>
      </w:r>
      <w:proofErr w:type="spellStart"/>
      <w:r>
        <w:t>пероксидазы</w:t>
      </w:r>
      <w:proofErr w:type="spellEnd"/>
      <w:r>
        <w:t xml:space="preserve">, широко применяемым в медицине и биотехнологии, являются </w:t>
      </w:r>
      <w:proofErr w:type="spellStart"/>
      <w:r>
        <w:t>нанозимы</w:t>
      </w:r>
      <w:proofErr w:type="spellEnd"/>
      <w:r>
        <w:t xml:space="preserve"> на основе </w:t>
      </w:r>
      <w:r w:rsidRPr="00CF4B8D">
        <w:t>берлинской лазури</w:t>
      </w:r>
      <w:r>
        <w:t xml:space="preserve"> (БЛ)</w:t>
      </w:r>
      <w:r w:rsidRPr="00CF4B8D">
        <w:t xml:space="preserve">, синтезированные в ходе реакции активации пероксида водорода (каталитически). </w:t>
      </w:r>
      <w:proofErr w:type="gramStart"/>
      <w:r>
        <w:t>За счет большого числа активных центров</w:t>
      </w:r>
      <w:r w:rsidRPr="00CF4B8D">
        <w:t xml:space="preserve">, вовлеченных в каталитическую реакцию, </w:t>
      </w:r>
      <w:r>
        <w:t xml:space="preserve">а </w:t>
      </w:r>
      <w:r w:rsidRPr="00CF4B8D">
        <w:t>также отсутстви</w:t>
      </w:r>
      <w:r>
        <w:t>я</w:t>
      </w:r>
      <w:r w:rsidRPr="00CF4B8D">
        <w:t xml:space="preserve"> влияния ориентации на диффузионно-контролируемые процессы</w:t>
      </w:r>
      <w:r>
        <w:t xml:space="preserve"> такие </w:t>
      </w:r>
      <w:proofErr w:type="spellStart"/>
      <w:r w:rsidRPr="00CF4B8D">
        <w:t>нано</w:t>
      </w:r>
      <w:r>
        <w:t>частицы</w:t>
      </w:r>
      <w:proofErr w:type="spellEnd"/>
      <w:r>
        <w:t xml:space="preserve"> имеют высокую каталитическую активность</w:t>
      </w:r>
      <w:proofErr w:type="gramEnd"/>
      <w:r>
        <w:t xml:space="preserve"> </w:t>
      </w:r>
      <w:r>
        <w:rPr>
          <w:i/>
          <w:iCs/>
        </w:rPr>
        <w:fldChar w:fldCharType="begin" w:fldLock="1"/>
      </w:r>
      <w:r>
        <w:rPr>
          <w:i/>
          <w:iCs/>
        </w:rPr>
        <w:instrText>ADDIN CSL_CITATION {"citationItems":[{"id":"ITEM-1","itemData":{"DOI":"10.1021/acs.jpclett.0c03014","ISSN":"19487185","PMID":"33321035","abstract":"We report on the kinetic mechanism of the catalytically synthesized Prussian Blue nanoparticles denoted as \"artificial peroxidase\". In contrast to the enzyme, whose active site first interacts with hydrogen peroxide forming the so-called Compound I, in the case of the nanozymes, H2O2 oxidizes their complex with reducing substrate. Slow release of the product (oxidized form of the latter) from the nanozymes has been registered. The interaction of substrates with the nanozymes is 100 times faster than with enzyme peroxidases, and the rate-limiting constant for the nanozymes is also 2 orders of magnitude greater: for pyrogallol k2 = 1.3 ± 0.1 × 108 M-1 s-1 and for ferrocyanide k2 = 1.9 ± 0.1 × 108 M-1 s-1. Thus, the discovered novel advantage of nanozymes over the corresponding enzymes is the 100-fold greater bimolecular rate constants, resulting, most probably, from their uniformly accessible surface, avoiding the effect of rotation on the diffusion-controlled rate.","author":[{"dropping-particle":"","family":"Komkova","given":"Maria A.","non-dropping-particle":"","parse-names":false,"suffix":""},{"dropping-particle":"","family":"Ibragimova","given":"Olga A.","non-dropping-particle":"","parse-names":false,"suffix":""},{"dropping-particle":"","family":"Karyakina","given":"Elena E.","non-dropping-particle":"","parse-names":false,"suffix":""},{"dropping-particle":"","family":"Karyakin","given":"Arkady A.","non-dropping-particle":"","parse-names":false,"suffix":""}],"container-title":"Journal of Physical Chemistry Letters","id":"ITEM-1","issue":"1","issued":{"date-parts":[["2021"]]},"page":"171-176","title":"Catalytic Pathway of Nanozyme \"artificial Peroxidase\" with 100-Fold Greater Bimolecular Rate Constants Compared to Those of the Enzyme","type":"article-journal","volume":"12"},"uris":["http://www.mendeley.com/documents/?uuid=d6654221-05ae-48f2-ba5d-3526d3f5a0b8"]},{"id":"ITEM-2","itemData":{"DOI":"10.1021/jacs.8b05223","ISSN":"15205126","PMID":"30118222","abstract":"We synthesized Prussian Blue (PB) nanoparticles through catalytic reaction involving hydrogen peroxide (H2O2) activation. The resulting nanoparticles display the size-dependent catalytic rate constants in H2O2 reduction, which are significantly improved compared to natural enzyme peroxidase: for PB nanoparticles 200 nm in diameter, the turnover number is 300 times higher; for 570 nm diameter nanoparticles, it is 4 orders of magnitude higher. Comparing to the known peroxidase-like nanozymes, the advantages of the reported PB nanoparticles are their true enzymatic properties: (1) enzymatic specificity (an absence of oxidase-like activity) and (2) an ability to operate in physiological solutions. The ultrahigh activity and enzymatic specificity of the catalytically synthesized PB nanoparticles together with high stability and low cost, obviously peculiar to noble metal free inorganic materials, would allow the substitution of natural and recombinant peroxidases in biotechnology and analytical sciences.","author":[{"dropping-particle":"","family":"Komkova","given":"Maria A.","non-dropping-particle":"","parse-names":false,"suffix":""},{"dropping-particle":"","family":"Karyakina","given":"Elena E.","non-dropping-particle":"","parse-names":false,"suffix":""},{"dropping-particle":"","family":"Karyakin","given":"Arkady A.","non-dropping-particle":"","parse-names":false,"suffix":""}],"container-title":"Journal of the American Chemical Society","genre":"research-article","id":"ITEM-2","issue":"36","issued":{"date-parts":[["2018"]]},"page":"11302-11307","publisher":"American Chemical Society","title":"Catalytically Synthesized Prussian Blue Nanoparticles Defeating Natural Enzyme Peroxidase","type":"article-journal","volume":"140"},"uris":["http://www.mendeley.com/documents/?uuid=f2b4b2e4-d606-4ae3-9803-e0b9ab623e33"]}],"mendeley":{"formattedCitation":"[1,2]","plainTextFormattedCitation":"[1,2]","previouslyFormattedCitation":"[Komkova и др., 2021; Komkova, Karyakina, Karyakin, 2018]"},"properties":{"noteIndex":0},"schema":"https://github.com/citation-style-language/schema/raw/master/csl-citation.json"}</w:instrText>
      </w:r>
      <w:r>
        <w:rPr>
          <w:i/>
          <w:iCs/>
        </w:rPr>
        <w:fldChar w:fldCharType="separate"/>
      </w:r>
      <w:r w:rsidRPr="00CD70A0">
        <w:rPr>
          <w:iCs/>
          <w:noProof/>
        </w:rPr>
        <w:t>[1,2]</w:t>
      </w:r>
      <w:r>
        <w:rPr>
          <w:i/>
          <w:iCs/>
        </w:rPr>
        <w:fldChar w:fldCharType="end"/>
      </w:r>
      <w:r w:rsidRPr="002F37FF">
        <w:t xml:space="preserve">. Однако фундаментальные пределы эффективности катализа </w:t>
      </w:r>
      <w:proofErr w:type="spellStart"/>
      <w:r w:rsidRPr="002F37FF">
        <w:t>нанозимами</w:t>
      </w:r>
      <w:proofErr w:type="spellEnd"/>
      <w:r w:rsidRPr="002F37FF">
        <w:t xml:space="preserve"> на основе БЛ ранее не были изучены.</w:t>
      </w:r>
    </w:p>
    <w:p w:rsidR="00A8312E" w:rsidRPr="001D1FE2" w:rsidRDefault="00A8312E" w:rsidP="00A8312E">
      <w:pPr>
        <w:ind w:firstLine="397"/>
        <w:jc w:val="both"/>
      </w:pPr>
      <w:r>
        <w:t xml:space="preserve">Исследована кинетика реакции восстановления пероксида водорода, катализируемой </w:t>
      </w:r>
      <w:proofErr w:type="spellStart"/>
      <w:r>
        <w:t>нанозимами</w:t>
      </w:r>
      <w:proofErr w:type="spellEnd"/>
      <w:r>
        <w:t xml:space="preserve"> с размером от 30 до 350 </w:t>
      </w:r>
      <w:proofErr w:type="spellStart"/>
      <w:r>
        <w:t>нм</w:t>
      </w:r>
      <w:proofErr w:type="spellEnd"/>
      <w:r>
        <w:t xml:space="preserve">, в присутствии субстратов с различными восстановительными потенциалами: </w:t>
      </w:r>
      <w:r w:rsidRPr="00CF4B8D">
        <w:t>3,3',5,5'-тетраметилбензидин</w:t>
      </w:r>
      <w:r>
        <w:t>а, пирокатехина и желтой кровяной соли (</w:t>
      </w:r>
      <w:r w:rsidRPr="00657C53">
        <w:rPr>
          <w:i/>
        </w:rPr>
        <w:t>E</w:t>
      </w:r>
      <w:r w:rsidRPr="00CF4B8D">
        <w:rPr>
          <w:vertAlign w:val="superscript"/>
        </w:rPr>
        <w:t>0’</w:t>
      </w:r>
      <w:r>
        <w:t>(</w:t>
      </w:r>
      <w:proofErr w:type="spellStart"/>
      <w:r w:rsidRPr="00657C53">
        <w:rPr>
          <w:i/>
          <w:lang w:val="en-US"/>
        </w:rPr>
        <w:t>S</w:t>
      </w:r>
      <w:r w:rsidRPr="009A4001">
        <w:rPr>
          <w:vertAlign w:val="subscript"/>
          <w:lang w:val="en-US"/>
        </w:rPr>
        <w:t>Ox</w:t>
      </w:r>
      <w:proofErr w:type="spellEnd"/>
      <w:r w:rsidRPr="009A4001">
        <w:t>/</w:t>
      </w:r>
      <w:proofErr w:type="spellStart"/>
      <w:r w:rsidRPr="00657C53">
        <w:rPr>
          <w:i/>
          <w:lang w:val="en-US"/>
        </w:rPr>
        <w:t>S</w:t>
      </w:r>
      <w:r w:rsidRPr="009A4001">
        <w:rPr>
          <w:vertAlign w:val="subscript"/>
          <w:lang w:val="en-US"/>
        </w:rPr>
        <w:t>Red</w:t>
      </w:r>
      <w:proofErr w:type="spellEnd"/>
      <w:r>
        <w:t>)</w:t>
      </w:r>
      <w:r w:rsidRPr="009A4001">
        <w:t xml:space="preserve"> = </w:t>
      </w:r>
      <w:r w:rsidRPr="00CF4B8D">
        <w:t>0.50</w:t>
      </w:r>
      <w:r w:rsidRPr="009A4001">
        <w:t xml:space="preserve">, </w:t>
      </w:r>
      <w:r w:rsidRPr="00CF4B8D">
        <w:t>0.36</w:t>
      </w:r>
      <w:r w:rsidRPr="009A4001">
        <w:t xml:space="preserve">, </w:t>
      </w:r>
      <w:r w:rsidRPr="00CF4B8D">
        <w:t>0.21</w:t>
      </w:r>
      <w:proofErr w:type="gramStart"/>
      <w:r w:rsidRPr="00CF4B8D">
        <w:t xml:space="preserve"> В</w:t>
      </w:r>
      <w:proofErr w:type="gramEnd"/>
      <w:r w:rsidRPr="009A4001">
        <w:t xml:space="preserve"> </w:t>
      </w:r>
      <w:r>
        <w:t xml:space="preserve">соответственно). Установлено, что значение </w:t>
      </w:r>
      <w:r w:rsidRPr="00CF4B8D">
        <w:t>константы скорость-лимитирующей стадии каталитического цикла</w:t>
      </w:r>
      <w:r>
        <w:t xml:space="preserve"> </w:t>
      </w:r>
      <w:r w:rsidRPr="00CF4B8D">
        <w:t xml:space="preserve">(необратимой бимолекулярной реакции взаимодействия комплекса </w:t>
      </w:r>
      <w:proofErr w:type="spellStart"/>
      <w:r w:rsidRPr="00CF4B8D">
        <w:t>нанозима</w:t>
      </w:r>
      <w:proofErr w:type="spellEnd"/>
      <w:r w:rsidRPr="00CF4B8D">
        <w:t xml:space="preserve"> и восстанавливающего субстрата с пероксидом водорода, </w:t>
      </w:r>
      <w:r w:rsidRPr="00657C53">
        <w:rPr>
          <w:i/>
          <w:lang w:val="en-US"/>
        </w:rPr>
        <w:t>k</w:t>
      </w:r>
      <w:r w:rsidRPr="00CF4B8D">
        <w:rPr>
          <w:vertAlign w:val="subscript"/>
        </w:rPr>
        <w:t>2</w:t>
      </w:r>
      <w:r w:rsidRPr="00CF4B8D">
        <w:t>)</w:t>
      </w:r>
      <w:r>
        <w:t xml:space="preserve"> зависит от </w:t>
      </w:r>
      <w:proofErr w:type="spellStart"/>
      <w:r>
        <w:t>редокс</w:t>
      </w:r>
      <w:proofErr w:type="spellEnd"/>
      <w:r>
        <w:t>-потенциала субстрата. Рассчитанные</w:t>
      </w:r>
      <w:r w:rsidRPr="00CF4B8D">
        <w:t xml:space="preserve"> согласно уравнению Аррениуса </w:t>
      </w:r>
      <w:r>
        <w:t>э</w:t>
      </w:r>
      <w:r w:rsidRPr="00CF4B8D">
        <w:t xml:space="preserve">нергии активации </w:t>
      </w:r>
      <w:r>
        <w:t xml:space="preserve">катализируемой </w:t>
      </w:r>
      <w:proofErr w:type="spellStart"/>
      <w:r>
        <w:t>нанозимами</w:t>
      </w:r>
      <w:proofErr w:type="spellEnd"/>
      <w:r>
        <w:t xml:space="preserve"> реакции </w:t>
      </w:r>
      <w:r w:rsidRPr="00CF4B8D">
        <w:t xml:space="preserve">тем выше, чем выше </w:t>
      </w:r>
      <w:proofErr w:type="spellStart"/>
      <w:r w:rsidRPr="00CF4B8D">
        <w:t>редокс</w:t>
      </w:r>
      <w:proofErr w:type="spellEnd"/>
      <w:r w:rsidRPr="00CF4B8D">
        <w:t xml:space="preserve">-потенциал субстрата. </w:t>
      </w:r>
      <w:r>
        <w:t>При этом п</w:t>
      </w:r>
      <w:r w:rsidRPr="001C3407">
        <w:t>олученные значения</w:t>
      </w:r>
      <w:r>
        <w:t xml:space="preserve"> </w:t>
      </w:r>
      <w:r w:rsidRPr="001C3407">
        <w:t xml:space="preserve">значительно ниже, чем для </w:t>
      </w:r>
      <w:proofErr w:type="gramStart"/>
      <w:r w:rsidRPr="001C3407">
        <w:t>известных</w:t>
      </w:r>
      <w:proofErr w:type="gramEnd"/>
      <w:r w:rsidRPr="001C3407">
        <w:t xml:space="preserve"> в литературе </w:t>
      </w:r>
      <w:proofErr w:type="spellStart"/>
      <w:r w:rsidRPr="001C3407">
        <w:t>наноз</w:t>
      </w:r>
      <w:r>
        <w:t>и</w:t>
      </w:r>
      <w:r w:rsidRPr="001C3407">
        <w:t>мов</w:t>
      </w:r>
      <w:proofErr w:type="spellEnd"/>
      <w:r>
        <w:t xml:space="preserve">, а в сравнении с </w:t>
      </w:r>
      <w:r w:rsidRPr="001C3407">
        <w:t>наиболее изученны</w:t>
      </w:r>
      <w:r>
        <w:t>ми</w:t>
      </w:r>
      <w:r w:rsidRPr="001C3407">
        <w:t xml:space="preserve"> </w:t>
      </w:r>
      <w:proofErr w:type="spellStart"/>
      <w:r>
        <w:t>нанозимами</w:t>
      </w:r>
      <w:proofErr w:type="spellEnd"/>
      <w:r>
        <w:t xml:space="preserve"> </w:t>
      </w:r>
      <w:r w:rsidRPr="00CF4B8D">
        <w:rPr>
          <w:lang w:val="en-US"/>
        </w:rPr>
        <w:t>Fe</w:t>
      </w:r>
      <w:r w:rsidRPr="00CF4B8D">
        <w:rPr>
          <w:vertAlign w:val="subscript"/>
        </w:rPr>
        <w:t>3</w:t>
      </w:r>
      <w:r w:rsidRPr="00CF4B8D">
        <w:rPr>
          <w:lang w:val="en-US"/>
        </w:rPr>
        <w:t>O</w:t>
      </w:r>
      <w:r w:rsidRPr="00CF4B8D">
        <w:rPr>
          <w:vertAlign w:val="subscript"/>
        </w:rPr>
        <w:t>4</w:t>
      </w:r>
      <w:r w:rsidRPr="001C3407">
        <w:t xml:space="preserve"> </w:t>
      </w:r>
      <w:r>
        <w:t>– д</w:t>
      </w:r>
      <w:r w:rsidRPr="001C3407">
        <w:t>о 5 раз ниже.</w:t>
      </w:r>
    </w:p>
    <w:p w:rsidR="00A8312E" w:rsidRPr="00505B44" w:rsidRDefault="00A8312E" w:rsidP="00A8312E">
      <w:pPr>
        <w:ind w:firstLine="397"/>
        <w:jc w:val="both"/>
        <w:rPr>
          <w:highlight w:val="yellow"/>
        </w:rPr>
      </w:pPr>
      <w:r w:rsidRPr="00B754E5">
        <w:t xml:space="preserve">Показано, что диффузия субстрата к поверхности и в объеме </w:t>
      </w:r>
      <w:proofErr w:type="spellStart"/>
      <w:r w:rsidRPr="00B754E5">
        <w:t>нанозима</w:t>
      </w:r>
      <w:proofErr w:type="spellEnd"/>
      <w:r w:rsidRPr="00B754E5">
        <w:t xml:space="preserve"> ограничена тем сильнее, чем ниже </w:t>
      </w:r>
      <w:proofErr w:type="spellStart"/>
      <w:r w:rsidRPr="00B754E5">
        <w:t>редокс</w:t>
      </w:r>
      <w:proofErr w:type="spellEnd"/>
      <w:r w:rsidRPr="00B754E5">
        <w:t xml:space="preserve"> потенциал восстанавливающего субстрата и чем больше размер частиц БЛ. Так, для пирокатехина зависимость кажущейся каталитической константы по восстанавливающему субстрату от концентрации пероксида водорода выходит на насыщение при 4</w:t>
      </w:r>
      <w:r>
        <w:t>–</w:t>
      </w:r>
      <w:r w:rsidRPr="00B754E5">
        <w:t>5</w:t>
      </w:r>
      <w:r>
        <w:t> </w:t>
      </w:r>
      <w:proofErr w:type="spellStart"/>
      <w:r w:rsidRPr="00B754E5">
        <w:t>мМ</w:t>
      </w:r>
      <w:proofErr w:type="spellEnd"/>
      <w:r w:rsidRPr="00B754E5">
        <w:t xml:space="preserve"> </w:t>
      </w:r>
      <w:r w:rsidRPr="00B754E5">
        <w:rPr>
          <w:lang w:val="en-US"/>
        </w:rPr>
        <w:t>H</w:t>
      </w:r>
      <w:r w:rsidRPr="00B754E5">
        <w:rPr>
          <w:vertAlign w:val="subscript"/>
        </w:rPr>
        <w:t>2</w:t>
      </w:r>
      <w:r w:rsidRPr="00B754E5">
        <w:rPr>
          <w:lang w:val="en-US"/>
        </w:rPr>
        <w:t>O</w:t>
      </w:r>
      <w:r w:rsidRPr="00B754E5">
        <w:rPr>
          <w:vertAlign w:val="subscript"/>
        </w:rPr>
        <w:t>2</w:t>
      </w:r>
      <w:r w:rsidRPr="00B754E5">
        <w:t xml:space="preserve">, а для желтой кровяной соли уже при </w:t>
      </w:r>
      <w:r>
        <w:br/>
      </w:r>
      <w:r w:rsidRPr="00B754E5">
        <w:t>0.5</w:t>
      </w:r>
      <w:r>
        <w:t>–1 </w:t>
      </w:r>
      <w:proofErr w:type="spellStart"/>
      <w:r w:rsidRPr="00B754E5">
        <w:t>мМ</w:t>
      </w:r>
      <w:proofErr w:type="spellEnd"/>
      <w:r w:rsidRPr="00B754E5">
        <w:t xml:space="preserve">. При этом даже в случае использования </w:t>
      </w:r>
      <w:proofErr w:type="spellStart"/>
      <w:r w:rsidRPr="00B754E5">
        <w:t>низкопотенциального</w:t>
      </w:r>
      <w:proofErr w:type="spellEnd"/>
      <w:r w:rsidRPr="00B754E5">
        <w:t xml:space="preserve"> субстрата снижение удельной активности происходит только для </w:t>
      </w:r>
      <w:proofErr w:type="spellStart"/>
      <w:r w:rsidRPr="00B754E5">
        <w:t>нанозимов</w:t>
      </w:r>
      <w:proofErr w:type="spellEnd"/>
      <w:r w:rsidRPr="00B754E5">
        <w:t xml:space="preserve"> с размером более 100 </w:t>
      </w:r>
      <w:proofErr w:type="spellStart"/>
      <w:r w:rsidRPr="00B754E5">
        <w:t>нм</w:t>
      </w:r>
      <w:proofErr w:type="spellEnd"/>
      <w:r w:rsidRPr="00B754E5">
        <w:t xml:space="preserve">. При этом зависимость </w:t>
      </w:r>
      <w:r w:rsidRPr="00A8312E">
        <w:rPr>
          <w:i/>
          <w:iCs/>
          <w:lang w:val="en-US"/>
        </w:rPr>
        <w:t>k</w:t>
      </w:r>
      <w:r w:rsidRPr="00B754E5">
        <w:rPr>
          <w:vertAlign w:val="subscript"/>
        </w:rPr>
        <w:t>2</w:t>
      </w:r>
      <w:r w:rsidRPr="00B754E5">
        <w:t xml:space="preserve"> от размера </w:t>
      </w:r>
      <w:proofErr w:type="spellStart"/>
      <w:r w:rsidRPr="00B754E5">
        <w:t>нанозима</w:t>
      </w:r>
      <w:proofErr w:type="spellEnd"/>
      <w:r w:rsidRPr="00B754E5">
        <w:t xml:space="preserve"> линеаризуется в </w:t>
      </w:r>
      <w:proofErr w:type="spellStart"/>
      <w:r w:rsidRPr="00B754E5">
        <w:t>билогарифмических</w:t>
      </w:r>
      <w:proofErr w:type="spellEnd"/>
      <w:r w:rsidRPr="00B754E5">
        <w:t xml:space="preserve"> координатах с тангенсом угла наклона</w:t>
      </w:r>
      <w:r>
        <w:t>,</w:t>
      </w:r>
      <w:r w:rsidRPr="00B754E5">
        <w:t xml:space="preserve"> близким к 3. Это указывает на вовлечение в каталитическую реакцию активных </w:t>
      </w:r>
      <w:proofErr w:type="gramStart"/>
      <w:r w:rsidRPr="00B754E5">
        <w:t>центров</w:t>
      </w:r>
      <w:proofErr w:type="gramEnd"/>
      <w:r w:rsidRPr="00B754E5">
        <w:t xml:space="preserve"> как на поверхности, так и в объеме </w:t>
      </w:r>
      <w:proofErr w:type="spellStart"/>
      <w:r w:rsidRPr="00B754E5">
        <w:t>наночастиц</w:t>
      </w:r>
      <w:proofErr w:type="spellEnd"/>
      <w:r w:rsidRPr="00B754E5">
        <w:t xml:space="preserve">. Так, для </w:t>
      </w:r>
      <w:proofErr w:type="spellStart"/>
      <w:r w:rsidRPr="00B754E5">
        <w:t>нанозимов</w:t>
      </w:r>
      <w:proofErr w:type="spellEnd"/>
      <w:r w:rsidRPr="00B754E5">
        <w:t xml:space="preserve"> с диаметром около 300</w:t>
      </w:r>
      <w:r>
        <w:t> </w:t>
      </w:r>
      <w:proofErr w:type="spellStart"/>
      <w:r w:rsidRPr="00B754E5">
        <w:t>нм</w:t>
      </w:r>
      <w:proofErr w:type="spellEnd"/>
      <w:r w:rsidRPr="00B754E5">
        <w:t xml:space="preserve"> значения</w:t>
      </w:r>
      <w:r w:rsidRPr="00CF4B8D">
        <w:t xml:space="preserve"> </w:t>
      </w:r>
      <w:r w:rsidRPr="00657C53">
        <w:rPr>
          <w:i/>
        </w:rPr>
        <w:t>k</w:t>
      </w:r>
      <w:r w:rsidRPr="00CF4B8D">
        <w:rPr>
          <w:vertAlign w:val="subscript"/>
        </w:rPr>
        <w:t>2</w:t>
      </w:r>
      <w:r w:rsidRPr="00CF4B8D">
        <w:t xml:space="preserve"> для случая </w:t>
      </w:r>
      <w:proofErr w:type="spellStart"/>
      <w:r w:rsidRPr="00CF4B8D">
        <w:t>низкопотенциального</w:t>
      </w:r>
      <w:proofErr w:type="spellEnd"/>
      <w:r w:rsidRPr="00CF4B8D">
        <w:t xml:space="preserve"> субстрата желтой кровяной соли достигают значений </w:t>
      </w:r>
      <w:r>
        <w:br/>
      </w:r>
      <w:r w:rsidRPr="00CF4B8D">
        <w:t>~2·10</w:t>
      </w:r>
      <w:r w:rsidRPr="00CF4B8D">
        <w:rPr>
          <w:vertAlign w:val="superscript"/>
        </w:rPr>
        <w:t>11</w:t>
      </w:r>
      <w:r w:rsidRPr="00A8312E">
        <w:t> </w:t>
      </w:r>
      <w:r w:rsidRPr="00CF4B8D">
        <w:t>М</w:t>
      </w:r>
      <w:r>
        <w:rPr>
          <w:vertAlign w:val="superscript"/>
        </w:rPr>
        <w:t>–</w:t>
      </w:r>
      <w:r w:rsidRPr="00CF4B8D">
        <w:rPr>
          <w:vertAlign w:val="superscript"/>
        </w:rPr>
        <w:t>1</w:t>
      </w:r>
      <w:r w:rsidRPr="00CF45CA">
        <w:rPr>
          <w:color w:val="000000"/>
        </w:rPr>
        <w:t>∙</w:t>
      </w:r>
      <w:r w:rsidRPr="00CF4B8D">
        <w:t>с</w:t>
      </w:r>
      <w:r>
        <w:rPr>
          <w:vertAlign w:val="superscript"/>
        </w:rPr>
        <w:t>–</w:t>
      </w:r>
      <w:r w:rsidRPr="00CF4B8D">
        <w:rPr>
          <w:vertAlign w:val="superscript"/>
        </w:rPr>
        <w:t>1</w:t>
      </w:r>
      <w:r w:rsidRPr="00CF4B8D">
        <w:t xml:space="preserve">, тогда как для </w:t>
      </w:r>
      <w:r>
        <w:t>пирокатехина</w:t>
      </w:r>
      <w:r w:rsidRPr="00CF4B8D">
        <w:t xml:space="preserve"> ~2·10</w:t>
      </w:r>
      <w:r w:rsidRPr="00CF4B8D">
        <w:rPr>
          <w:vertAlign w:val="superscript"/>
        </w:rPr>
        <w:t>10</w:t>
      </w:r>
      <w:r w:rsidRPr="00CF4B8D">
        <w:t xml:space="preserve"> М</w:t>
      </w:r>
      <w:r>
        <w:rPr>
          <w:vertAlign w:val="superscript"/>
        </w:rPr>
        <w:t>–</w:t>
      </w:r>
      <w:r w:rsidRPr="00CF4B8D">
        <w:rPr>
          <w:vertAlign w:val="superscript"/>
        </w:rPr>
        <w:t>1</w:t>
      </w:r>
      <w:r w:rsidRPr="00CF45CA">
        <w:rPr>
          <w:color w:val="000000"/>
        </w:rPr>
        <w:t>∙</w:t>
      </w:r>
      <w:r w:rsidRPr="00CF4B8D">
        <w:t>с</w:t>
      </w:r>
      <w:r>
        <w:rPr>
          <w:vertAlign w:val="superscript"/>
        </w:rPr>
        <w:t>–</w:t>
      </w:r>
      <w:r w:rsidRPr="00CF4B8D">
        <w:rPr>
          <w:vertAlign w:val="superscript"/>
        </w:rPr>
        <w:t>1</w:t>
      </w:r>
      <w:r w:rsidRPr="00CF4B8D">
        <w:t>. Полученные значения на 3</w:t>
      </w:r>
      <w:r>
        <w:t>-</w:t>
      </w:r>
      <w:r w:rsidRPr="00CF4B8D">
        <w:t xml:space="preserve">4 порядка величины превосходят константы для ферментов </w:t>
      </w:r>
      <w:proofErr w:type="spellStart"/>
      <w:r w:rsidRPr="00CF4B8D">
        <w:t>пероксидаз</w:t>
      </w:r>
      <w:proofErr w:type="spellEnd"/>
      <w:r w:rsidRPr="00CF4B8D">
        <w:t xml:space="preserve"> для стадии их взаимодействия с пероксидом водорода (наиболее быстрой стадии) и на 4</w:t>
      </w:r>
      <w:r>
        <w:t>-</w:t>
      </w:r>
      <w:r w:rsidRPr="00CF4B8D">
        <w:t>5 порядков – константы скорость-лимитирующей стадии действия фермента.</w:t>
      </w:r>
    </w:p>
    <w:p w:rsidR="00A8312E" w:rsidRPr="00CD70A0" w:rsidRDefault="00A8312E" w:rsidP="00A8312E">
      <w:pPr>
        <w:ind w:firstLine="397"/>
        <w:jc w:val="both"/>
        <w:rPr>
          <w:i/>
          <w:iCs/>
        </w:rPr>
      </w:pPr>
      <w:r w:rsidRPr="00623692">
        <w:rPr>
          <w:i/>
          <w:iCs/>
        </w:rPr>
        <w:t xml:space="preserve">Работа выполнена при поддержке гранта РНФ </w:t>
      </w:r>
      <w:r w:rsidRPr="002F37FF">
        <w:rPr>
          <w:i/>
          <w:iCs/>
        </w:rPr>
        <w:t>19-13-00131</w:t>
      </w:r>
      <w:r>
        <w:rPr>
          <w:i/>
          <w:iCs/>
        </w:rPr>
        <w:t>.</w:t>
      </w:r>
    </w:p>
    <w:p w:rsidR="00A8312E" w:rsidRPr="008D1372" w:rsidRDefault="00A8312E" w:rsidP="00A8312E">
      <w:pPr>
        <w:ind w:firstLine="397"/>
        <w:jc w:val="center"/>
      </w:pPr>
      <w:r w:rsidRPr="008D1372">
        <w:rPr>
          <w:b/>
        </w:rPr>
        <w:t>Литература</w:t>
      </w:r>
    </w:p>
    <w:p w:rsidR="00A8312E" w:rsidRPr="0084122B" w:rsidRDefault="00A8312E" w:rsidP="00A8312E">
      <w:pPr>
        <w:widowControl w:val="0"/>
        <w:autoSpaceDE w:val="0"/>
        <w:autoSpaceDN w:val="0"/>
        <w:adjustRightInd w:val="0"/>
        <w:jc w:val="both"/>
        <w:rPr>
          <w:noProof/>
          <w:lang w:val="en-US"/>
        </w:rPr>
      </w:pPr>
      <w:r>
        <w:rPr>
          <w:i/>
          <w:iCs/>
        </w:rPr>
        <w:fldChar w:fldCharType="begin" w:fldLock="1"/>
      </w:r>
      <w:r>
        <w:rPr>
          <w:i/>
          <w:iCs/>
        </w:rPr>
        <w:instrText xml:space="preserve">ADDIN Mendeley Bibliography CSL_BIBLIOGRAPHY </w:instrText>
      </w:r>
      <w:r>
        <w:rPr>
          <w:i/>
          <w:iCs/>
        </w:rPr>
        <w:fldChar w:fldCharType="separate"/>
      </w:r>
      <w:r w:rsidRPr="00CD70A0">
        <w:rPr>
          <w:noProof/>
        </w:rPr>
        <w:t>1.</w:t>
      </w:r>
      <w:r>
        <w:rPr>
          <w:noProof/>
        </w:rPr>
        <w:t xml:space="preserve"> </w:t>
      </w:r>
      <w:r w:rsidRPr="00CD70A0">
        <w:rPr>
          <w:noProof/>
        </w:rPr>
        <w:t xml:space="preserve">Komkova M.A. et al. </w:t>
      </w:r>
      <w:r w:rsidRPr="0084122B">
        <w:rPr>
          <w:noProof/>
          <w:lang w:val="en-US"/>
        </w:rPr>
        <w:t>Catalytic Pathway of Nanozyme “artificial Peroxidase” with 100-Fold Greater Bimolecular Rate Constants Compared to Those of the Enzyme // J. Phys. Chem. Lett. 2021. Vol. 12, № 1. P. 171–176.</w:t>
      </w:r>
    </w:p>
    <w:p w:rsidR="00A8312E" w:rsidRPr="00E9578B" w:rsidRDefault="00A8312E" w:rsidP="00A8312E">
      <w:pPr>
        <w:widowControl w:val="0"/>
        <w:autoSpaceDE w:val="0"/>
        <w:autoSpaceDN w:val="0"/>
        <w:adjustRightInd w:val="0"/>
        <w:jc w:val="both"/>
        <w:rPr>
          <w:noProof/>
        </w:rPr>
      </w:pPr>
      <w:r w:rsidRPr="0084122B">
        <w:rPr>
          <w:noProof/>
          <w:lang w:val="en-US"/>
        </w:rPr>
        <w:t xml:space="preserve">2. Komkova M.A., Karyakina E.E., Karyakin A.A. Catalytically Synthesized Prussian Blue Nanoparticles Defeating Natural Enzyme Peroxidase: research-article // J. Am. </w:t>
      </w:r>
      <w:r w:rsidRPr="00345F00">
        <w:rPr>
          <w:noProof/>
          <w:lang w:val="en-US"/>
        </w:rPr>
        <w:t>Chem</w:t>
      </w:r>
      <w:r w:rsidRPr="00E9578B">
        <w:rPr>
          <w:noProof/>
        </w:rPr>
        <w:t xml:space="preserve">. </w:t>
      </w:r>
      <w:r w:rsidRPr="00345F00">
        <w:rPr>
          <w:noProof/>
          <w:lang w:val="en-US"/>
        </w:rPr>
        <w:t>Soc</w:t>
      </w:r>
      <w:r w:rsidRPr="00E9578B">
        <w:rPr>
          <w:noProof/>
        </w:rPr>
        <w:t xml:space="preserve">. </w:t>
      </w:r>
      <w:r w:rsidRPr="00345F00">
        <w:rPr>
          <w:noProof/>
          <w:lang w:val="en-US"/>
        </w:rPr>
        <w:t>American</w:t>
      </w:r>
      <w:r w:rsidRPr="00E9578B">
        <w:rPr>
          <w:noProof/>
        </w:rPr>
        <w:t xml:space="preserve"> </w:t>
      </w:r>
      <w:r w:rsidRPr="00345F00">
        <w:rPr>
          <w:noProof/>
          <w:lang w:val="en-US"/>
        </w:rPr>
        <w:t>Chemical</w:t>
      </w:r>
      <w:r w:rsidRPr="00E9578B">
        <w:rPr>
          <w:noProof/>
        </w:rPr>
        <w:t xml:space="preserve"> </w:t>
      </w:r>
      <w:r w:rsidRPr="00345F00">
        <w:rPr>
          <w:noProof/>
          <w:lang w:val="en-US"/>
        </w:rPr>
        <w:t>Society</w:t>
      </w:r>
      <w:r w:rsidRPr="00E9578B">
        <w:rPr>
          <w:noProof/>
        </w:rPr>
        <w:t xml:space="preserve">, 2018. </w:t>
      </w:r>
      <w:r w:rsidRPr="00345F00">
        <w:rPr>
          <w:noProof/>
          <w:lang w:val="en-US"/>
        </w:rPr>
        <w:t>Vol</w:t>
      </w:r>
      <w:r w:rsidRPr="00E9578B">
        <w:rPr>
          <w:noProof/>
        </w:rPr>
        <w:t xml:space="preserve">. 140, № 36. </w:t>
      </w:r>
      <w:r w:rsidRPr="00345F00">
        <w:rPr>
          <w:noProof/>
          <w:lang w:val="en-US"/>
        </w:rPr>
        <w:t>P</w:t>
      </w:r>
      <w:r w:rsidRPr="00E9578B">
        <w:rPr>
          <w:noProof/>
        </w:rPr>
        <w:t>. 11302–11307.</w:t>
      </w:r>
      <w:r w:rsidRPr="00E9578B">
        <w:rPr>
          <w:noProof/>
        </w:rPr>
        <w:br w:type="page"/>
      </w:r>
    </w:p>
    <w:p w:rsidR="00BC2663" w:rsidRDefault="00A8312E" w:rsidP="00A8312E">
      <w:r>
        <w:rPr>
          <w:i/>
          <w:iCs/>
        </w:rPr>
        <w:lastRenderedPageBreak/>
        <w:fldChar w:fldCharType="end"/>
      </w:r>
      <w:bookmarkStart w:id="0" w:name="_GoBack"/>
      <w:bookmarkEnd w:id="0"/>
    </w:p>
    <w:sectPr w:rsidR="00BC26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12E"/>
    <w:rsid w:val="00A8312E"/>
    <w:rsid w:val="00D741A2"/>
    <w:rsid w:val="00FB5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12E"/>
    <w:pPr>
      <w:spacing w:after="0" w:line="240" w:lineRule="auto"/>
    </w:pPr>
    <w:rPr>
      <w:rFonts w:ascii="Times New Roman" w:eastAsia="Times New Roman" w:hAnsi="Times New Roman" w:cs="Times New Roman"/>
      <w:kern w:val="24"/>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12E"/>
    <w:rPr>
      <w:color w:val="0000FF"/>
      <w:u w:val="single"/>
    </w:rPr>
  </w:style>
  <w:style w:type="paragraph" w:styleId="a4">
    <w:name w:val="Normal (Web)"/>
    <w:basedOn w:val="a"/>
    <w:uiPriority w:val="99"/>
    <w:unhideWhenUsed/>
    <w:rsid w:val="00A8312E"/>
    <w:pPr>
      <w:spacing w:before="100" w:beforeAutospacing="1" w:after="100" w:afterAutospacing="1"/>
    </w:pPr>
    <w:rPr>
      <w:kern w:val="0"/>
      <w:szCs w:val="24"/>
    </w:rPr>
  </w:style>
  <w:style w:type="paragraph" w:styleId="a5">
    <w:name w:val="Balloon Text"/>
    <w:basedOn w:val="a"/>
    <w:link w:val="a6"/>
    <w:uiPriority w:val="99"/>
    <w:semiHidden/>
    <w:unhideWhenUsed/>
    <w:rsid w:val="00A8312E"/>
    <w:rPr>
      <w:rFonts w:ascii="Tahoma" w:hAnsi="Tahoma" w:cs="Tahoma"/>
      <w:sz w:val="16"/>
      <w:szCs w:val="16"/>
    </w:rPr>
  </w:style>
  <w:style w:type="character" w:customStyle="1" w:styleId="a6">
    <w:name w:val="Текст выноски Знак"/>
    <w:basedOn w:val="a0"/>
    <w:link w:val="a5"/>
    <w:uiPriority w:val="99"/>
    <w:semiHidden/>
    <w:rsid w:val="00A8312E"/>
    <w:rPr>
      <w:rFonts w:ascii="Tahoma" w:eastAsia="Times New Roman" w:hAnsi="Tahoma" w:cs="Tahoma"/>
      <w:kern w:val="24"/>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12E"/>
    <w:pPr>
      <w:spacing w:after="0" w:line="240" w:lineRule="auto"/>
    </w:pPr>
    <w:rPr>
      <w:rFonts w:ascii="Times New Roman" w:eastAsia="Times New Roman" w:hAnsi="Times New Roman" w:cs="Times New Roman"/>
      <w:kern w:val="24"/>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12E"/>
    <w:rPr>
      <w:color w:val="0000FF"/>
      <w:u w:val="single"/>
    </w:rPr>
  </w:style>
  <w:style w:type="paragraph" w:styleId="a4">
    <w:name w:val="Normal (Web)"/>
    <w:basedOn w:val="a"/>
    <w:uiPriority w:val="99"/>
    <w:unhideWhenUsed/>
    <w:rsid w:val="00A8312E"/>
    <w:pPr>
      <w:spacing w:before="100" w:beforeAutospacing="1" w:after="100" w:afterAutospacing="1"/>
    </w:pPr>
    <w:rPr>
      <w:kern w:val="0"/>
      <w:szCs w:val="24"/>
    </w:rPr>
  </w:style>
  <w:style w:type="paragraph" w:styleId="a5">
    <w:name w:val="Balloon Text"/>
    <w:basedOn w:val="a"/>
    <w:link w:val="a6"/>
    <w:uiPriority w:val="99"/>
    <w:semiHidden/>
    <w:unhideWhenUsed/>
    <w:rsid w:val="00A8312E"/>
    <w:rPr>
      <w:rFonts w:ascii="Tahoma" w:hAnsi="Tahoma" w:cs="Tahoma"/>
      <w:sz w:val="16"/>
      <w:szCs w:val="16"/>
    </w:rPr>
  </w:style>
  <w:style w:type="character" w:customStyle="1" w:styleId="a6">
    <w:name w:val="Текст выноски Знак"/>
    <w:basedOn w:val="a0"/>
    <w:link w:val="a5"/>
    <w:uiPriority w:val="99"/>
    <w:semiHidden/>
    <w:rsid w:val="00A8312E"/>
    <w:rPr>
      <w:rFonts w:ascii="Tahoma" w:eastAsia="Times New Roman" w:hAnsi="Tahoma" w:cs="Tahoma"/>
      <w:kern w:val="24"/>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eshneiderm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1189</Words>
  <Characters>6780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2023-03-09T19:09:00Z</dcterms:created>
  <dcterms:modified xsi:type="dcterms:W3CDTF">2023-03-09T19:09:00Z</dcterms:modified>
</cp:coreProperties>
</file>