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6C2F" w14:textId="77777777" w:rsidR="002C23DA" w:rsidRDefault="002C23DA" w:rsidP="002C23DA">
      <w:pPr>
        <w:jc w:val="center"/>
        <w:rPr>
          <w:b/>
          <w:color w:val="000000"/>
        </w:rPr>
      </w:pPr>
      <w:r w:rsidRPr="00B11D69">
        <w:rPr>
          <w:b/>
          <w:color w:val="000000"/>
        </w:rPr>
        <w:t xml:space="preserve">Термодинамическое моделирование систем на основе солей </w:t>
      </w:r>
    </w:p>
    <w:p w14:paraId="66802AF4" w14:textId="10DD56EB" w:rsidR="002C23DA" w:rsidRPr="00B11D69" w:rsidRDefault="002C23DA" w:rsidP="002C23DA">
      <w:pPr>
        <w:jc w:val="center"/>
        <w:rPr>
          <w:b/>
          <w:color w:val="000000"/>
        </w:rPr>
      </w:pPr>
      <w:proofErr w:type="spellStart"/>
      <w:r w:rsidRPr="00B11D69">
        <w:rPr>
          <w:b/>
          <w:color w:val="000000"/>
        </w:rPr>
        <w:t>метансульфоновой</w:t>
      </w:r>
      <w:proofErr w:type="spellEnd"/>
      <w:r w:rsidRPr="00B11D69">
        <w:rPr>
          <w:b/>
          <w:color w:val="000000"/>
        </w:rPr>
        <w:t xml:space="preserve"> кислоты для разработки </w:t>
      </w:r>
      <w:r w:rsidR="00AC6C19">
        <w:rPr>
          <w:b/>
          <w:color w:val="000000"/>
        </w:rPr>
        <w:t>«зелёных»</w:t>
      </w:r>
      <w:r w:rsidRPr="00B11D69">
        <w:rPr>
          <w:b/>
          <w:color w:val="000000"/>
        </w:rPr>
        <w:t xml:space="preserve"> технологий переработки металлсодержащих материалов</w:t>
      </w:r>
    </w:p>
    <w:p w14:paraId="5DFCB159" w14:textId="4A3A4C19" w:rsidR="002C23DA" w:rsidRDefault="002C23DA" w:rsidP="002C23DA">
      <w:pPr>
        <w:pBdr>
          <w:top w:val="nil"/>
          <w:left w:val="nil"/>
          <w:bottom w:val="nil"/>
          <w:right w:val="nil"/>
          <w:between w:val="nil"/>
        </w:pBdr>
        <w:shd w:val="clear" w:color="auto" w:fill="FFFFFF"/>
        <w:jc w:val="center"/>
        <w:rPr>
          <w:color w:val="000000"/>
        </w:rPr>
      </w:pPr>
      <w:proofErr w:type="spellStart"/>
      <w:r w:rsidRPr="00B11D69">
        <w:rPr>
          <w:b/>
          <w:i/>
          <w:color w:val="000000"/>
        </w:rPr>
        <w:t>Капелюшников</w:t>
      </w:r>
      <w:proofErr w:type="spellEnd"/>
      <w:r w:rsidRPr="00B11D69">
        <w:rPr>
          <w:b/>
          <w:i/>
          <w:color w:val="000000"/>
        </w:rPr>
        <w:t xml:space="preserve"> А.С.</w:t>
      </w:r>
      <w:r w:rsidR="006F4FFD" w:rsidRPr="00F131F4">
        <w:rPr>
          <w:b/>
          <w:i/>
          <w:color w:val="000000"/>
        </w:rPr>
        <w:t>,</w:t>
      </w:r>
      <w:r>
        <w:rPr>
          <w:b/>
          <w:i/>
          <w:color w:val="000000"/>
          <w:vertAlign w:val="superscript"/>
        </w:rPr>
        <w:t>1,2</w:t>
      </w:r>
      <w:r w:rsidRPr="00B11D69">
        <w:rPr>
          <w:sz w:val="28"/>
          <w:szCs w:val="28"/>
        </w:rPr>
        <w:t xml:space="preserve"> </w:t>
      </w:r>
      <w:r w:rsidRPr="00B11D69">
        <w:rPr>
          <w:b/>
          <w:i/>
          <w:color w:val="000000"/>
        </w:rPr>
        <w:t>Белова Е.В.</w:t>
      </w:r>
      <w:r w:rsidRPr="00BF4622">
        <w:rPr>
          <w:b/>
          <w:i/>
          <w:color w:val="000000"/>
          <w:vertAlign w:val="superscript"/>
        </w:rPr>
        <w:t>2</w:t>
      </w:r>
    </w:p>
    <w:p w14:paraId="422C93F3" w14:textId="77777777" w:rsidR="002C23DA" w:rsidRDefault="002C23DA" w:rsidP="002C23DA">
      <w:pPr>
        <w:pBdr>
          <w:top w:val="nil"/>
          <w:left w:val="nil"/>
          <w:bottom w:val="nil"/>
          <w:right w:val="nil"/>
          <w:between w:val="nil"/>
        </w:pBdr>
        <w:shd w:val="clear" w:color="auto" w:fill="FFFFFF"/>
        <w:jc w:val="center"/>
        <w:rPr>
          <w:color w:val="000000"/>
        </w:rPr>
      </w:pPr>
      <w:r>
        <w:rPr>
          <w:i/>
          <w:color w:val="000000"/>
        </w:rPr>
        <w:t>Студент, 4 курс бакалавриата</w:t>
      </w:r>
    </w:p>
    <w:p w14:paraId="4334AB57" w14:textId="77777777" w:rsidR="002C23DA" w:rsidRPr="00921D45" w:rsidRDefault="002C23DA" w:rsidP="002C23DA">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 Ломоносова, </w:t>
      </w:r>
    </w:p>
    <w:p w14:paraId="569E0F2E" w14:textId="77777777" w:rsidR="002C23DA" w:rsidRDefault="002C23DA" w:rsidP="002C23DA">
      <w:pPr>
        <w:pBdr>
          <w:top w:val="nil"/>
          <w:left w:val="nil"/>
          <w:bottom w:val="nil"/>
          <w:right w:val="nil"/>
          <w:between w:val="nil"/>
        </w:pBdr>
        <w:shd w:val="clear" w:color="auto" w:fill="FFFFFF"/>
        <w:jc w:val="center"/>
        <w:rPr>
          <w:i/>
          <w:color w:val="000000"/>
        </w:rPr>
      </w:pPr>
      <w:r>
        <w:rPr>
          <w:i/>
          <w:color w:val="000000"/>
        </w:rPr>
        <w:t>факультет наук о материалах, Москва, Россия</w:t>
      </w:r>
    </w:p>
    <w:p w14:paraId="08B94B1B" w14:textId="77777777" w:rsidR="002C23DA" w:rsidRPr="00921D45" w:rsidRDefault="002C23DA" w:rsidP="002C23DA">
      <w:pPr>
        <w:pBdr>
          <w:top w:val="nil"/>
          <w:left w:val="nil"/>
          <w:bottom w:val="nil"/>
          <w:right w:val="nil"/>
          <w:between w:val="nil"/>
        </w:pBdr>
        <w:shd w:val="clear" w:color="auto" w:fill="FFFFFF"/>
        <w:jc w:val="center"/>
        <w:rPr>
          <w:color w:val="000000"/>
        </w:rPr>
      </w:pPr>
      <w:r>
        <w:rPr>
          <w:i/>
          <w:color w:val="000000"/>
          <w:vertAlign w:val="superscript"/>
        </w:rPr>
        <w:t>2</w:t>
      </w:r>
      <w:r>
        <w:rPr>
          <w:i/>
          <w:color w:val="000000"/>
        </w:rPr>
        <w:t>Московский государственный университет имени М.В. Ломоносова, </w:t>
      </w:r>
    </w:p>
    <w:p w14:paraId="4782F3CB" w14:textId="77777777" w:rsidR="002C23DA" w:rsidRDefault="002C23DA" w:rsidP="002C23DA">
      <w:pPr>
        <w:pBdr>
          <w:top w:val="nil"/>
          <w:left w:val="nil"/>
          <w:bottom w:val="nil"/>
          <w:right w:val="nil"/>
          <w:between w:val="nil"/>
        </w:pBdr>
        <w:shd w:val="clear" w:color="auto" w:fill="FFFFFF"/>
        <w:jc w:val="center"/>
        <w:rPr>
          <w:color w:val="000000"/>
        </w:rPr>
      </w:pPr>
      <w:r>
        <w:rPr>
          <w:i/>
          <w:color w:val="000000"/>
        </w:rPr>
        <w:t>химический факультет, Москва, Россия</w:t>
      </w:r>
    </w:p>
    <w:p w14:paraId="05CF9A4D" w14:textId="77777777" w:rsidR="002C23DA" w:rsidRPr="009F0D88" w:rsidRDefault="002C23DA" w:rsidP="002C23DA">
      <w:pPr>
        <w:pBdr>
          <w:top w:val="nil"/>
          <w:left w:val="nil"/>
          <w:bottom w:val="nil"/>
          <w:right w:val="nil"/>
          <w:between w:val="nil"/>
        </w:pBdr>
        <w:shd w:val="clear" w:color="auto" w:fill="FFFFFF"/>
        <w:jc w:val="center"/>
        <w:rPr>
          <w:i/>
          <w:color w:val="000000"/>
        </w:rPr>
      </w:pPr>
      <w:r w:rsidRPr="00EB57CF">
        <w:rPr>
          <w:i/>
          <w:color w:val="000000"/>
          <w:lang w:val="en-US"/>
        </w:rPr>
        <w:t>E</w:t>
      </w:r>
      <w:r w:rsidRPr="009F0D88">
        <w:rPr>
          <w:i/>
          <w:color w:val="000000"/>
        </w:rPr>
        <w:t>-</w:t>
      </w:r>
      <w:r w:rsidRPr="00EB57CF">
        <w:rPr>
          <w:i/>
          <w:color w:val="000000"/>
          <w:lang w:val="en-US"/>
        </w:rPr>
        <w:t>mail</w:t>
      </w:r>
      <w:r w:rsidRPr="009F0D88">
        <w:rPr>
          <w:i/>
          <w:color w:val="000000"/>
        </w:rPr>
        <w:t xml:space="preserve">: </w:t>
      </w:r>
      <w:proofErr w:type="spellStart"/>
      <w:r w:rsidRPr="00EB57CF">
        <w:rPr>
          <w:i/>
          <w:color w:val="000000"/>
          <w:lang w:val="en-US"/>
        </w:rPr>
        <w:t>kapelushnikov</w:t>
      </w:r>
      <w:proofErr w:type="spellEnd"/>
      <w:r w:rsidRPr="009F0D88">
        <w:rPr>
          <w:i/>
          <w:color w:val="000000"/>
        </w:rPr>
        <w:t>@</w:t>
      </w:r>
      <w:proofErr w:type="spellStart"/>
      <w:r w:rsidRPr="00EB57CF">
        <w:rPr>
          <w:i/>
          <w:color w:val="000000"/>
          <w:lang w:val="en-US"/>
        </w:rPr>
        <w:t>gmail</w:t>
      </w:r>
      <w:proofErr w:type="spellEnd"/>
      <w:r w:rsidRPr="009F0D88">
        <w:rPr>
          <w:i/>
          <w:color w:val="000000"/>
        </w:rPr>
        <w:t>.</w:t>
      </w:r>
      <w:r w:rsidRPr="00EB57CF">
        <w:rPr>
          <w:i/>
          <w:color w:val="000000"/>
          <w:lang w:val="en-US"/>
        </w:rPr>
        <w:t>com</w:t>
      </w:r>
    </w:p>
    <w:p w14:paraId="085F3080" w14:textId="53BB6A2B" w:rsidR="002C23DA" w:rsidRPr="000376CB" w:rsidRDefault="002C23DA" w:rsidP="002C23DA">
      <w:pPr>
        <w:pBdr>
          <w:top w:val="nil"/>
          <w:left w:val="nil"/>
          <w:bottom w:val="nil"/>
          <w:right w:val="nil"/>
          <w:between w:val="nil"/>
        </w:pBdr>
        <w:shd w:val="clear" w:color="auto" w:fill="FFFFFF"/>
        <w:ind w:firstLine="397"/>
        <w:jc w:val="both"/>
        <w:rPr>
          <w:color w:val="000000"/>
        </w:rPr>
      </w:pPr>
      <w:r w:rsidRPr="00EB57CF">
        <w:rPr>
          <w:color w:val="000000"/>
        </w:rPr>
        <w:t xml:space="preserve">В последнее время </w:t>
      </w:r>
      <w:r>
        <w:rPr>
          <w:color w:val="000000"/>
        </w:rPr>
        <w:t>предпринимаются попытки заменить неорганические кислоты сильными</w:t>
      </w:r>
      <w:r w:rsidRPr="00EB57CF">
        <w:rPr>
          <w:color w:val="000000"/>
        </w:rPr>
        <w:t xml:space="preserve"> </w:t>
      </w:r>
      <w:proofErr w:type="spellStart"/>
      <w:r>
        <w:rPr>
          <w:color w:val="000000"/>
        </w:rPr>
        <w:t>биоразлагаемыми</w:t>
      </w:r>
      <w:proofErr w:type="spellEnd"/>
      <w:r w:rsidRPr="00EB57CF">
        <w:rPr>
          <w:color w:val="000000"/>
        </w:rPr>
        <w:t xml:space="preserve"> органическими, </w:t>
      </w:r>
      <w:r>
        <w:rPr>
          <w:color w:val="000000"/>
        </w:rPr>
        <w:t>например,</w:t>
      </w:r>
      <w:r w:rsidRPr="00EB57CF">
        <w:rPr>
          <w:color w:val="000000"/>
        </w:rPr>
        <w:t xml:space="preserve"> </w:t>
      </w:r>
      <w:proofErr w:type="spellStart"/>
      <w:r w:rsidRPr="00EB57CF">
        <w:rPr>
          <w:color w:val="000000"/>
        </w:rPr>
        <w:t>метансульфонов</w:t>
      </w:r>
      <w:r>
        <w:rPr>
          <w:color w:val="000000"/>
        </w:rPr>
        <w:t>ой</w:t>
      </w:r>
      <w:proofErr w:type="spellEnd"/>
      <w:r w:rsidRPr="00EB57CF">
        <w:rPr>
          <w:color w:val="000000"/>
        </w:rPr>
        <w:t xml:space="preserve">. </w:t>
      </w:r>
      <w:proofErr w:type="spellStart"/>
      <w:r>
        <w:rPr>
          <w:color w:val="000000"/>
        </w:rPr>
        <w:t>Метансульфонаты</w:t>
      </w:r>
      <w:proofErr w:type="spellEnd"/>
      <w:r w:rsidRPr="00EB57CF">
        <w:rPr>
          <w:color w:val="000000"/>
        </w:rPr>
        <w:t xml:space="preserve"> 3</w:t>
      </w:r>
      <w:r w:rsidRPr="00EB57CF">
        <w:rPr>
          <w:color w:val="000000"/>
          <w:lang w:val="en-US"/>
        </w:rPr>
        <w:t>d</w:t>
      </w:r>
      <w:r w:rsidRPr="00EB57CF">
        <w:rPr>
          <w:color w:val="000000"/>
        </w:rPr>
        <w:t>-металл</w:t>
      </w:r>
      <w:r>
        <w:rPr>
          <w:color w:val="000000"/>
        </w:rPr>
        <w:t>ов</w:t>
      </w:r>
      <w:r w:rsidRPr="00EB57CF">
        <w:rPr>
          <w:color w:val="000000"/>
        </w:rPr>
        <w:t xml:space="preserve"> и ЩМ</w:t>
      </w:r>
      <w:r>
        <w:rPr>
          <w:color w:val="000000"/>
        </w:rPr>
        <w:t xml:space="preserve"> обладают большей растворимостью</w:t>
      </w:r>
      <w:r w:rsidRPr="00EB57CF">
        <w:rPr>
          <w:color w:val="000000"/>
        </w:rPr>
        <w:t xml:space="preserve">, чем </w:t>
      </w:r>
      <w:r>
        <w:rPr>
          <w:color w:val="000000"/>
        </w:rPr>
        <w:t>сульфаты</w:t>
      </w:r>
      <w:r w:rsidRPr="00EB57CF">
        <w:rPr>
          <w:color w:val="000000"/>
        </w:rPr>
        <w:t xml:space="preserve">, а </w:t>
      </w:r>
      <w:proofErr w:type="spellStart"/>
      <w:r w:rsidRPr="00EB57CF">
        <w:rPr>
          <w:color w:val="000000"/>
        </w:rPr>
        <w:t>метансульфонат</w:t>
      </w:r>
      <w:proofErr w:type="spellEnd"/>
      <w:r w:rsidRPr="00EB57CF">
        <w:rPr>
          <w:color w:val="000000"/>
        </w:rPr>
        <w:t>-анион</w:t>
      </w:r>
      <w:r>
        <w:rPr>
          <w:color w:val="000000"/>
        </w:rPr>
        <w:t xml:space="preserve"> имеет меньшую коррозионную активность по сравнению с</w:t>
      </w:r>
      <w:r w:rsidRPr="00EB57CF">
        <w:rPr>
          <w:color w:val="000000"/>
        </w:rPr>
        <w:t xml:space="preserve"> хлорид</w:t>
      </w:r>
      <w:r>
        <w:rPr>
          <w:color w:val="000000"/>
        </w:rPr>
        <w:t>-анионом</w:t>
      </w:r>
      <w:r w:rsidRPr="000376CB">
        <w:rPr>
          <w:color w:val="000000"/>
        </w:rPr>
        <w:t xml:space="preserve"> </w:t>
      </w:r>
      <w:r>
        <w:rPr>
          <w:color w:val="000000"/>
        </w:rPr>
        <w:fldChar w:fldCharType="begin"/>
      </w:r>
      <w:r>
        <w:rPr>
          <w:color w:val="000000"/>
        </w:rPr>
        <w:instrText xml:space="preserve"> ADDIN ZOTERO_ITEM CSL_CITATION {"citationID":"0gsHy0yP","properties":{"formattedCitation":"[1]","plainCitation":"[1]","noteIndex":0},"citationItems":[{"id":1350,"uris":["http://zotero.org/users/6214542/items/9WN68ZYN"],"itemData":{"id":1350,"type":"article-journal","abstract":"Abstract\n            \n              This paper reviews the properties of methanesulfonic acid (MSA) and its potential for use in hydrometallurgy. Although MSA is much less known than sulfuric, hydrochloric or nitric acid, it has several appealing properties that makes it very attractive for the development of new circular flowsheets in hydrometallurgy. Unlike other organic acids such as acetic acid, MSA is a very strong acid (\n              pK\n              \n                a\n              \n               =  − 1.9). In addition, it is very stable against chemical oxidation and reduction, and has no tendency to hydrolyze in water. In terms of its environmental impact, MSA has low toxicity and is biodegradable. In nature, it is part of the geochemical sulfur cycle. A useful property is the high solubility of its salts in water: methanesulfonate salts have a much higher solubility in water than sulfate salts. Additionally, MSA and its salts are compatible with the electrowinning of metals because the anode reaction involves the formation of oxygen gas (unlike chlorine gas formation in chloride electrolytes) and no cathodic reduction of the anion occurs (unlike nitrate reduction in nitrate electrolytes). MSA is particularly interesting for lead hydrometallurgy, where it offers more environment-friendly alternatives to HBF\n              4\n              and H\n              2\n              SiF\n              6\n              . However, MSA can also be adopted in all hydrometallurgical processes that require strong Brønsted acids. It can be used in the metallurgy of copper, zinc, cobalt, nickel, and rare earths, as well as in the recycling of metals from end-of-life products. Although MSA itself is a non-oxidizing acid, in combination with hydrogen peroxide it yields strongly oxidizing lixiviants that can leach copper from chalcopyrite or dissolve metallic silver. The global production of MSA is expected to increase rapidly in the near future thanks to both the industrialization of a new sustainable synthesis process and its many applications (cleaning fluids, electrolytes for electroplating, redox-flow batteries, catalysts in organic synthesis, and as a solvent for high-molecular-weight polymers). As a result, MSA will become more widely available and a lower price will make it an increasingly attractive option.\n            \n            \n              Graphical Abstract","container-title":"Journal of Sustainable Metallurgy","DOI":"10.1007/s40831-022-00641-6","ISSN":"2199-3823, 2199-3831","journalAbbreviation":"J. Sustain. Metall.","language":"en","source":"DOI.org (Crossref)","title":"Methanesulfonic Acid (MSA) in Hydrometallurgy","URL":"https://link.springer.com/10.1007/s40831-022-00641-6","author":[{"family":"Binnemans","given":"Koen"},{"family":"Jones","given":"Peter Tom"}],"accessed":{"date-parts":[["2023",1,18]]},"issued":{"date-parts":[["2022",12,22]]}}}],"schema":"https://github.com/citation-style-language/schema/raw/master/csl-citation.json"} </w:instrText>
      </w:r>
      <w:r>
        <w:rPr>
          <w:color w:val="000000"/>
        </w:rPr>
        <w:fldChar w:fldCharType="separate"/>
      </w:r>
      <w:r>
        <w:rPr>
          <w:noProof/>
          <w:color w:val="000000"/>
        </w:rPr>
        <w:t>[1]</w:t>
      </w:r>
      <w:r>
        <w:rPr>
          <w:color w:val="000000"/>
        </w:rPr>
        <w:fldChar w:fldCharType="end"/>
      </w:r>
      <w:r w:rsidRPr="000376CB">
        <w:rPr>
          <w:color w:val="000000"/>
        </w:rPr>
        <w:t>.</w:t>
      </w:r>
    </w:p>
    <w:p w14:paraId="46D45EA3" w14:textId="34CE6F35" w:rsidR="002C23DA" w:rsidRPr="00EB57CF" w:rsidRDefault="002C23DA" w:rsidP="002C23DA">
      <w:pPr>
        <w:pBdr>
          <w:top w:val="nil"/>
          <w:left w:val="nil"/>
          <w:bottom w:val="nil"/>
          <w:right w:val="nil"/>
          <w:between w:val="nil"/>
        </w:pBdr>
        <w:shd w:val="clear" w:color="auto" w:fill="FFFFFF"/>
        <w:ind w:firstLine="397"/>
        <w:jc w:val="both"/>
        <w:rPr>
          <w:color w:val="000000"/>
        </w:rPr>
      </w:pPr>
      <w:r w:rsidRPr="00EB57CF">
        <w:rPr>
          <w:color w:val="000000"/>
        </w:rPr>
        <w:t>Для подбора оптимальных технологических схем выделения и разделения необходима информация о равновесиях жидкость</w:t>
      </w:r>
      <w:r>
        <w:rPr>
          <w:color w:val="000000"/>
        </w:rPr>
        <w:t>–</w:t>
      </w:r>
      <w:r w:rsidRPr="00EB57CF">
        <w:rPr>
          <w:color w:val="000000"/>
        </w:rPr>
        <w:t>пар (</w:t>
      </w:r>
      <w:r w:rsidRPr="00EB57CF">
        <w:rPr>
          <w:color w:val="000000"/>
          <w:lang w:val="en-US"/>
        </w:rPr>
        <w:t>VLE</w:t>
      </w:r>
      <w:r w:rsidRPr="00EB57CF">
        <w:rPr>
          <w:color w:val="000000"/>
        </w:rPr>
        <w:t>), жидкость</w:t>
      </w:r>
      <w:r>
        <w:rPr>
          <w:color w:val="000000"/>
        </w:rPr>
        <w:t>–</w:t>
      </w:r>
      <w:r w:rsidRPr="00EB57CF">
        <w:rPr>
          <w:color w:val="000000"/>
        </w:rPr>
        <w:t>твердое (</w:t>
      </w:r>
      <w:r w:rsidRPr="00EB57CF">
        <w:rPr>
          <w:color w:val="000000"/>
          <w:lang w:val="en-US"/>
        </w:rPr>
        <w:t>SLE</w:t>
      </w:r>
      <w:r w:rsidRPr="00EB57CF">
        <w:rPr>
          <w:color w:val="000000"/>
        </w:rPr>
        <w:t>) в многокомпонентных системах. Термодинамическое моделирование, опирающееся на минимально необходимый набор экспериментальных данных, существенно снижает трудоемкость и временные затраты для этой задачи.</w:t>
      </w:r>
    </w:p>
    <w:p w14:paraId="5C3F7FA2" w14:textId="07A95AE6" w:rsidR="002C23DA" w:rsidRPr="00EB57CF" w:rsidRDefault="002C23DA" w:rsidP="002C23DA">
      <w:pPr>
        <w:pBdr>
          <w:top w:val="nil"/>
          <w:left w:val="nil"/>
          <w:bottom w:val="nil"/>
          <w:right w:val="nil"/>
          <w:between w:val="nil"/>
        </w:pBdr>
        <w:shd w:val="clear" w:color="auto" w:fill="FFFFFF"/>
        <w:ind w:firstLine="397"/>
        <w:jc w:val="both"/>
        <w:rPr>
          <w:color w:val="000000"/>
        </w:rPr>
      </w:pPr>
      <w:r w:rsidRPr="00EB57CF">
        <w:rPr>
          <w:color w:val="000000"/>
        </w:rPr>
        <w:t xml:space="preserve">Объектами изучения настоящей работы стали системы </w:t>
      </w:r>
      <w:r w:rsidRPr="00EB57CF">
        <w:rPr>
          <w:color w:val="000000"/>
          <w:lang w:val="en-US"/>
        </w:rPr>
        <w:t>H</w:t>
      </w:r>
      <w:r w:rsidRPr="00EB57CF">
        <w:rPr>
          <w:color w:val="000000"/>
          <w:vertAlign w:val="subscript"/>
        </w:rPr>
        <w:t>2</w:t>
      </w:r>
      <w:r w:rsidRPr="00EB57CF">
        <w:rPr>
          <w:color w:val="000000"/>
          <w:lang w:val="en-US"/>
        </w:rPr>
        <w:t>O</w:t>
      </w:r>
      <w:r>
        <w:rPr>
          <w:color w:val="000000"/>
        </w:rPr>
        <w:t>–</w:t>
      </w:r>
      <w:r w:rsidRPr="00EB57CF">
        <w:rPr>
          <w:color w:val="000000"/>
          <w:lang w:val="en-US"/>
        </w:rPr>
        <w:t>CH</w:t>
      </w:r>
      <w:r w:rsidRPr="00EB57CF">
        <w:rPr>
          <w:color w:val="000000"/>
          <w:vertAlign w:val="subscript"/>
        </w:rPr>
        <w:t>3</w:t>
      </w:r>
      <w:r w:rsidRPr="00EB57CF">
        <w:rPr>
          <w:color w:val="000000"/>
          <w:lang w:val="en-US"/>
        </w:rPr>
        <w:t>SO</w:t>
      </w:r>
      <w:r w:rsidRPr="00EB57CF">
        <w:rPr>
          <w:color w:val="000000"/>
          <w:vertAlign w:val="subscript"/>
        </w:rPr>
        <w:t>3</w:t>
      </w:r>
      <w:r w:rsidRPr="00EB57CF">
        <w:rPr>
          <w:color w:val="000000"/>
          <w:lang w:val="en-US"/>
        </w:rPr>
        <w:t>H</w:t>
      </w:r>
      <w:r>
        <w:rPr>
          <w:color w:val="000000"/>
        </w:rPr>
        <w:t>–</w:t>
      </w:r>
      <w:proofErr w:type="gramStart"/>
      <w:r w:rsidRPr="00EB57CF">
        <w:rPr>
          <w:color w:val="000000"/>
          <w:lang w:val="en-US"/>
        </w:rPr>
        <w:t>Me</w:t>
      </w:r>
      <w:r w:rsidRPr="00EB57CF">
        <w:rPr>
          <w:color w:val="000000"/>
        </w:rPr>
        <w:t>(</w:t>
      </w:r>
      <w:proofErr w:type="gramEnd"/>
      <w:r w:rsidRPr="00EB57CF">
        <w:rPr>
          <w:color w:val="000000"/>
          <w:lang w:val="en-US"/>
        </w:rPr>
        <w:t>CH</w:t>
      </w:r>
      <w:r w:rsidRPr="00EB57CF">
        <w:rPr>
          <w:color w:val="000000"/>
          <w:vertAlign w:val="subscript"/>
        </w:rPr>
        <w:t>3</w:t>
      </w:r>
      <w:r w:rsidRPr="00EB57CF">
        <w:rPr>
          <w:color w:val="000000"/>
          <w:lang w:val="en-US"/>
        </w:rPr>
        <w:t>SO</w:t>
      </w:r>
      <w:r w:rsidRPr="00EB57CF">
        <w:rPr>
          <w:color w:val="000000"/>
          <w:vertAlign w:val="subscript"/>
        </w:rPr>
        <w:t>3</w:t>
      </w:r>
      <w:r w:rsidRPr="00EB57CF">
        <w:rPr>
          <w:color w:val="000000"/>
        </w:rPr>
        <w:t>)</w:t>
      </w:r>
      <w:r w:rsidRPr="00EB57CF">
        <w:rPr>
          <w:color w:val="000000"/>
          <w:vertAlign w:val="subscript"/>
        </w:rPr>
        <w:t>2</w:t>
      </w:r>
      <w:r w:rsidRPr="00EB57CF">
        <w:rPr>
          <w:color w:val="000000"/>
        </w:rPr>
        <w:t xml:space="preserve"> (</w:t>
      </w:r>
      <w:r w:rsidRPr="00EB57CF">
        <w:rPr>
          <w:color w:val="000000"/>
          <w:lang w:val="en-US"/>
        </w:rPr>
        <w:t>Me</w:t>
      </w:r>
      <w:r>
        <w:rPr>
          <w:color w:val="000000"/>
        </w:rPr>
        <w:t> </w:t>
      </w:r>
      <w:r w:rsidRPr="00EB57CF">
        <w:rPr>
          <w:color w:val="000000"/>
        </w:rPr>
        <w:t>=</w:t>
      </w:r>
      <w:r>
        <w:rPr>
          <w:color w:val="000000"/>
        </w:rPr>
        <w:t> </w:t>
      </w:r>
      <w:r w:rsidRPr="00EB57CF">
        <w:rPr>
          <w:color w:val="000000"/>
          <w:lang w:val="en-US"/>
        </w:rPr>
        <w:t>Ni</w:t>
      </w:r>
      <w:r w:rsidRPr="00EB57CF">
        <w:rPr>
          <w:color w:val="000000"/>
        </w:rPr>
        <w:t xml:space="preserve">, </w:t>
      </w:r>
      <w:r w:rsidRPr="00EB57CF">
        <w:rPr>
          <w:color w:val="000000"/>
          <w:lang w:val="en-US"/>
        </w:rPr>
        <w:t>Zn</w:t>
      </w:r>
      <w:r w:rsidRPr="00EB57CF">
        <w:rPr>
          <w:color w:val="000000"/>
        </w:rPr>
        <w:t xml:space="preserve">, </w:t>
      </w:r>
      <w:r w:rsidRPr="00EB57CF">
        <w:rPr>
          <w:color w:val="000000"/>
          <w:lang w:val="en-US"/>
        </w:rPr>
        <w:t>Mn</w:t>
      </w:r>
      <w:r w:rsidRPr="00EB57CF">
        <w:rPr>
          <w:color w:val="000000"/>
        </w:rPr>
        <w:t>). Цел</w:t>
      </w:r>
      <w:r w:rsidR="0071523A">
        <w:rPr>
          <w:color w:val="000000"/>
        </w:rPr>
        <w:t>ью</w:t>
      </w:r>
      <w:r w:rsidRPr="00EB57CF">
        <w:rPr>
          <w:color w:val="000000"/>
        </w:rPr>
        <w:t xml:space="preserve"> работы был</w:t>
      </w:r>
      <w:r w:rsidR="0071523A">
        <w:rPr>
          <w:color w:val="000000"/>
        </w:rPr>
        <w:t>а</w:t>
      </w:r>
      <w:r w:rsidRPr="00EB57CF">
        <w:rPr>
          <w:color w:val="000000"/>
        </w:rPr>
        <w:t xml:space="preserve"> оптимизация параметров единой термодинамической модели систем.</w:t>
      </w:r>
    </w:p>
    <w:p w14:paraId="0B1063B0" w14:textId="46684E19" w:rsidR="002C23DA" w:rsidRDefault="002C23DA" w:rsidP="002C23DA">
      <w:pPr>
        <w:pBdr>
          <w:top w:val="nil"/>
          <w:left w:val="nil"/>
          <w:bottom w:val="nil"/>
          <w:right w:val="nil"/>
          <w:between w:val="nil"/>
        </w:pBdr>
        <w:shd w:val="clear" w:color="auto" w:fill="FFFFFF"/>
        <w:ind w:firstLine="397"/>
        <w:jc w:val="both"/>
        <w:rPr>
          <w:color w:val="000000"/>
        </w:rPr>
      </w:pPr>
      <w:r w:rsidRPr="00EB57CF">
        <w:rPr>
          <w:color w:val="000000"/>
        </w:rPr>
        <w:t xml:space="preserve">В качестве модели жидкой фазы нами была выбрана модель </w:t>
      </w:r>
      <w:proofErr w:type="spellStart"/>
      <w:r w:rsidRPr="00EB57CF">
        <w:rPr>
          <w:color w:val="000000"/>
        </w:rPr>
        <w:t>Питцера</w:t>
      </w:r>
      <w:proofErr w:type="spellEnd"/>
      <w:r>
        <w:rPr>
          <w:color w:val="000000"/>
        </w:rPr>
        <w:t>–</w:t>
      </w:r>
      <w:proofErr w:type="spellStart"/>
      <w:r w:rsidRPr="00EB57CF">
        <w:rPr>
          <w:color w:val="000000"/>
        </w:rPr>
        <w:t>Симонсона</w:t>
      </w:r>
      <w:proofErr w:type="spellEnd"/>
      <w:r>
        <w:rPr>
          <w:color w:val="000000"/>
        </w:rPr>
        <w:t>–</w:t>
      </w:r>
      <w:proofErr w:type="spellStart"/>
      <w:r w:rsidRPr="00EB57CF">
        <w:rPr>
          <w:color w:val="000000"/>
        </w:rPr>
        <w:t>Клегга</w:t>
      </w:r>
      <w:proofErr w:type="spellEnd"/>
      <w:r w:rsidRPr="00EB57CF">
        <w:rPr>
          <w:color w:val="000000"/>
        </w:rPr>
        <w:t xml:space="preserve"> (ПСК): в системах H</w:t>
      </w:r>
      <w:r w:rsidRPr="00EB57CF">
        <w:rPr>
          <w:color w:val="000000"/>
          <w:vertAlign w:val="subscript"/>
        </w:rPr>
        <w:t>2</w:t>
      </w:r>
      <w:r w:rsidRPr="00EB57CF">
        <w:rPr>
          <w:color w:val="000000"/>
        </w:rPr>
        <w:t>O</w:t>
      </w:r>
      <w:r>
        <w:rPr>
          <w:color w:val="000000"/>
        </w:rPr>
        <w:t>–</w:t>
      </w:r>
      <w:r w:rsidRPr="00EB57CF">
        <w:rPr>
          <w:color w:val="000000"/>
          <w:lang w:val="en-US"/>
        </w:rPr>
        <w:t>Me</w:t>
      </w:r>
      <w:r w:rsidRPr="00EB57CF">
        <w:rPr>
          <w:color w:val="000000"/>
        </w:rPr>
        <w:t>(CH</w:t>
      </w:r>
      <w:r w:rsidRPr="00EB57CF">
        <w:rPr>
          <w:color w:val="000000"/>
          <w:vertAlign w:val="subscript"/>
        </w:rPr>
        <w:t>3</w:t>
      </w:r>
      <w:r w:rsidRPr="00EB57CF">
        <w:rPr>
          <w:color w:val="000000"/>
        </w:rPr>
        <w:t>SO</w:t>
      </w:r>
      <w:r w:rsidRPr="00EB57CF">
        <w:rPr>
          <w:color w:val="000000"/>
          <w:vertAlign w:val="subscript"/>
        </w:rPr>
        <w:t>3</w:t>
      </w:r>
      <w:r w:rsidRPr="00EB57CF">
        <w:rPr>
          <w:color w:val="000000"/>
        </w:rPr>
        <w:t>)</w:t>
      </w:r>
      <w:r w:rsidRPr="00EB57CF">
        <w:rPr>
          <w:color w:val="000000"/>
          <w:vertAlign w:val="subscript"/>
        </w:rPr>
        <w:t>2</w:t>
      </w:r>
      <w:r>
        <w:rPr>
          <w:color w:val="000000"/>
        </w:rPr>
        <w:t xml:space="preserve">, </w:t>
      </w:r>
      <w:r w:rsidRPr="00EB57CF">
        <w:rPr>
          <w:color w:val="000000"/>
        </w:rPr>
        <w:t>(</w:t>
      </w:r>
      <w:r w:rsidRPr="00EB57CF">
        <w:rPr>
          <w:color w:val="000000"/>
          <w:lang w:val="en-US"/>
        </w:rPr>
        <w:t>Me</w:t>
      </w:r>
      <w:r>
        <w:rPr>
          <w:color w:val="000000"/>
        </w:rPr>
        <w:t> </w:t>
      </w:r>
      <w:r w:rsidRPr="00EB57CF">
        <w:rPr>
          <w:color w:val="000000"/>
        </w:rPr>
        <w:t>=</w:t>
      </w:r>
      <w:r>
        <w:rPr>
          <w:color w:val="000000"/>
        </w:rPr>
        <w:t> </w:t>
      </w:r>
      <w:r w:rsidRPr="00EB57CF">
        <w:rPr>
          <w:color w:val="000000"/>
          <w:lang w:val="en-US"/>
        </w:rPr>
        <w:t>Zn</w:t>
      </w:r>
      <w:r w:rsidRPr="00EB57CF">
        <w:rPr>
          <w:color w:val="000000"/>
        </w:rPr>
        <w:t xml:space="preserve">, </w:t>
      </w:r>
      <w:r w:rsidRPr="00EB57CF">
        <w:rPr>
          <w:color w:val="000000"/>
          <w:lang w:val="en-US"/>
        </w:rPr>
        <w:t>Ni</w:t>
      </w:r>
      <w:r w:rsidRPr="00EB57CF">
        <w:rPr>
          <w:color w:val="000000"/>
        </w:rPr>
        <w:t xml:space="preserve">, </w:t>
      </w:r>
      <w:r w:rsidRPr="00EB57CF">
        <w:rPr>
          <w:color w:val="000000"/>
          <w:lang w:val="en-US"/>
        </w:rPr>
        <w:t>Mn</w:t>
      </w:r>
      <w:r w:rsidRPr="00EB57CF">
        <w:rPr>
          <w:color w:val="000000"/>
        </w:rPr>
        <w:t>) уже известны бинарные параметры</w:t>
      </w:r>
      <w:r>
        <w:rPr>
          <w:color w:val="000000"/>
        </w:rPr>
        <w:t xml:space="preserve"> </w:t>
      </w:r>
      <w:r>
        <w:rPr>
          <w:color w:val="000000"/>
        </w:rPr>
        <w:fldChar w:fldCharType="begin"/>
      </w:r>
      <w:r>
        <w:rPr>
          <w:color w:val="000000"/>
        </w:rPr>
        <w:instrText xml:space="preserve"> ADDIN ZOTERO_ITEM CSL_CITATION {"citationID":"Weans4Wc","properties":{"formattedCitation":"[2]","plainCitation":"[2]","noteIndex":0},"citationItems":[{"id":1313,"uris":["http://zotero.org/users/6214542/items/C2J2625X"],"itemData":{"id":1313,"type":"article-journal","abstract":"Fragments of M(CH3SO3)2-H2O (M = Zn,Cu) phase diagrams from subsolidus temperatures up to 70 °C (343.15 K) were obtained. Melting parameters of anhydrous zinc methanesulfonate (Tm = 566.2 ± 0.3 K, ΔmH = 33.4 ± 0.6 kJ/mol) were clariﬁed. New dodecahydrate zinc methanesulfonate and octahydrate copper methanesulfonate were revealed and characterized. Space group (R-3), lattice parameters (a = 9.1711(2), c = 21.4910(5)) and structure of Zn(CH3SO3)2∙12H2O were determined. The dodecahydrate melts congruently at Tm = 299.4 ± 0.1 K, with the enthalpy of fusion ΔmH = 78.9 ± 0.1 kJ/mol. The octahydrate Cu (CH3SO3)2∙8H2O melts incongruently at 254.9 ± 0.1 K.","container-title":"Thermochimica Acta","DOI":"10.1016/j.tca.2018.08.004","ISSN":"00406031","journalAbbreviation":"Thermochimica Acta","language":"en","page":"46-57","source":"DOI.org (Crossref)","title":"Solid-liquid phase equilibrium in the water–Zn(II) methanesulfonate and water–Cu(II) methanesulfonate systems","volume":"668","author":[{"family":"Belova","given":"Ekaterina V."},{"family":"Krasnov","given":"Vladimir S."},{"family":"Ilyukhin","given":"Andrey B."},{"family":"Uspenskaya","given":"Irina A."}],"issued":{"date-parts":[["2018",10]]}}}],"schema":"https://github.com/citation-style-language/schema/raw/master/csl-citation.json"} </w:instrText>
      </w:r>
      <w:r>
        <w:rPr>
          <w:color w:val="000000"/>
        </w:rPr>
        <w:fldChar w:fldCharType="separate"/>
      </w:r>
      <w:r>
        <w:rPr>
          <w:noProof/>
          <w:color w:val="000000"/>
        </w:rPr>
        <w:t>[2]</w:t>
      </w:r>
      <w:r>
        <w:rPr>
          <w:color w:val="000000"/>
        </w:rPr>
        <w:fldChar w:fldCharType="end"/>
      </w:r>
      <w:r w:rsidRPr="00EB57CF">
        <w:rPr>
          <w:color w:val="000000"/>
        </w:rPr>
        <w:t xml:space="preserve">. В рамках настоящей работы мы проводили поиск параметров ПСК для жидкой фазы и параметров стабильности соединений и расчет </w:t>
      </w:r>
      <w:r w:rsidRPr="00EB57CF">
        <w:rPr>
          <w:color w:val="000000"/>
          <w:lang w:val="en-US"/>
        </w:rPr>
        <w:t>VLE</w:t>
      </w:r>
      <w:r w:rsidRPr="00EB57CF">
        <w:rPr>
          <w:color w:val="000000"/>
        </w:rPr>
        <w:t xml:space="preserve"> и </w:t>
      </w:r>
      <w:r w:rsidRPr="00EB57CF">
        <w:rPr>
          <w:color w:val="000000"/>
          <w:lang w:val="en-US"/>
        </w:rPr>
        <w:t>SLE</w:t>
      </w:r>
      <w:r w:rsidRPr="00EB57CF">
        <w:rPr>
          <w:color w:val="000000"/>
        </w:rPr>
        <w:t xml:space="preserve"> в системе </w:t>
      </w:r>
      <w:r w:rsidRPr="00EB57CF">
        <w:rPr>
          <w:color w:val="000000"/>
          <w:lang w:val="en-US"/>
        </w:rPr>
        <w:t>H</w:t>
      </w:r>
      <w:r w:rsidRPr="00EB57CF">
        <w:rPr>
          <w:color w:val="000000"/>
          <w:vertAlign w:val="subscript"/>
        </w:rPr>
        <w:t>2</w:t>
      </w:r>
      <w:r w:rsidRPr="00EB57CF">
        <w:rPr>
          <w:color w:val="000000"/>
          <w:lang w:val="en-US"/>
        </w:rPr>
        <w:t>O</w:t>
      </w:r>
      <w:r>
        <w:rPr>
          <w:color w:val="000000"/>
        </w:rPr>
        <w:t>–</w:t>
      </w:r>
      <w:r w:rsidRPr="00EB57CF">
        <w:rPr>
          <w:color w:val="000000"/>
          <w:lang w:val="en-US"/>
        </w:rPr>
        <w:t>CH</w:t>
      </w:r>
      <w:r w:rsidRPr="00EB57CF">
        <w:rPr>
          <w:color w:val="000000"/>
          <w:vertAlign w:val="subscript"/>
        </w:rPr>
        <w:t>3</w:t>
      </w:r>
      <w:r w:rsidRPr="00EB57CF">
        <w:rPr>
          <w:color w:val="000000"/>
          <w:lang w:val="en-US"/>
        </w:rPr>
        <w:t>SO</w:t>
      </w:r>
      <w:r w:rsidRPr="00EB57CF">
        <w:rPr>
          <w:color w:val="000000"/>
          <w:vertAlign w:val="subscript"/>
        </w:rPr>
        <w:t>3</w:t>
      </w:r>
      <w:r w:rsidRPr="00EB57CF">
        <w:rPr>
          <w:color w:val="000000"/>
          <w:lang w:val="en-US"/>
        </w:rPr>
        <w:t>H</w:t>
      </w:r>
      <w:r w:rsidRPr="00EB57CF">
        <w:rPr>
          <w:color w:val="000000"/>
        </w:rPr>
        <w:t xml:space="preserve"> (рис.1</w:t>
      </w:r>
      <w:r>
        <w:rPr>
          <w:color w:val="000000"/>
        </w:rPr>
        <w:t xml:space="preserve">а, </w:t>
      </w:r>
      <w:r w:rsidRPr="00EB57CF">
        <w:rPr>
          <w:color w:val="000000"/>
        </w:rPr>
        <w:t xml:space="preserve">расчет </w:t>
      </w:r>
      <w:r>
        <w:rPr>
          <w:color w:val="000000"/>
        </w:rPr>
        <w:t xml:space="preserve">активности воды по данным </w:t>
      </w:r>
      <w:r w:rsidRPr="00EB57CF">
        <w:rPr>
          <w:color w:val="000000"/>
          <w:lang w:val="en-US"/>
        </w:rPr>
        <w:t>VLE</w:t>
      </w:r>
      <w:r w:rsidRPr="00EB57CF">
        <w:rPr>
          <w:color w:val="000000"/>
        </w:rPr>
        <w:t xml:space="preserve">). </w:t>
      </w:r>
      <w:r w:rsidR="0071523A">
        <w:rPr>
          <w:color w:val="000000"/>
        </w:rPr>
        <w:t>Литературных данных</w:t>
      </w:r>
      <w:r w:rsidRPr="00EB57CF">
        <w:rPr>
          <w:color w:val="000000"/>
        </w:rPr>
        <w:t xml:space="preserve"> по активности воды при 298.15</w:t>
      </w:r>
      <w:r>
        <w:rPr>
          <w:color w:val="000000"/>
        </w:rPr>
        <w:t> </w:t>
      </w:r>
      <w:r w:rsidRPr="00EB57CF">
        <w:rPr>
          <w:color w:val="000000"/>
        </w:rPr>
        <w:t>К было недостаточно для введения температурной зависимости параметров ПСК</w:t>
      </w:r>
      <w:r>
        <w:rPr>
          <w:color w:val="000000"/>
        </w:rPr>
        <w:t>.</w:t>
      </w:r>
      <w:r w:rsidRPr="00EB57CF">
        <w:rPr>
          <w:color w:val="000000"/>
        </w:rPr>
        <w:t xml:space="preserve"> </w:t>
      </w:r>
      <w:r>
        <w:rPr>
          <w:color w:val="000000"/>
        </w:rPr>
        <w:t>П</w:t>
      </w:r>
      <w:r w:rsidRPr="00EB57CF">
        <w:rPr>
          <w:color w:val="000000"/>
        </w:rPr>
        <w:t>о этой причине был</w:t>
      </w:r>
      <w:r>
        <w:rPr>
          <w:color w:val="000000"/>
        </w:rPr>
        <w:t>и</w:t>
      </w:r>
      <w:r w:rsidRPr="00EB57CF">
        <w:rPr>
          <w:color w:val="000000"/>
        </w:rPr>
        <w:t xml:space="preserve"> проведен</w:t>
      </w:r>
      <w:r>
        <w:rPr>
          <w:color w:val="000000"/>
        </w:rPr>
        <w:t>ы</w:t>
      </w:r>
      <w:r w:rsidRPr="00EB57CF">
        <w:rPr>
          <w:color w:val="000000"/>
        </w:rPr>
        <w:t xml:space="preserve"> эксперимент</w:t>
      </w:r>
      <w:r>
        <w:rPr>
          <w:color w:val="000000"/>
        </w:rPr>
        <w:t>ы с использованием</w:t>
      </w:r>
      <w:r w:rsidRPr="00EB57CF">
        <w:rPr>
          <w:color w:val="000000"/>
        </w:rPr>
        <w:t xml:space="preserve"> статическ</w:t>
      </w:r>
      <w:r>
        <w:rPr>
          <w:color w:val="000000"/>
        </w:rPr>
        <w:t>ого</w:t>
      </w:r>
      <w:r w:rsidRPr="00EB57CF">
        <w:rPr>
          <w:color w:val="000000"/>
        </w:rPr>
        <w:t xml:space="preserve"> метод</w:t>
      </w:r>
      <w:r>
        <w:rPr>
          <w:color w:val="000000"/>
        </w:rPr>
        <w:t>а</w:t>
      </w:r>
      <w:r w:rsidRPr="00EB57CF">
        <w:rPr>
          <w:color w:val="000000"/>
        </w:rPr>
        <w:t xml:space="preserve"> давления пара и метод</w:t>
      </w:r>
      <w:r>
        <w:rPr>
          <w:color w:val="000000"/>
        </w:rPr>
        <w:t>а</w:t>
      </w:r>
      <w:r w:rsidRPr="00EB57CF">
        <w:rPr>
          <w:color w:val="000000"/>
        </w:rPr>
        <w:t xml:space="preserve"> точки росы.</w:t>
      </w:r>
    </w:p>
    <w:p w14:paraId="0E2AF20F" w14:textId="2A88E2B6" w:rsidR="00E74519" w:rsidRPr="00EB57CF" w:rsidRDefault="00E74519" w:rsidP="00356BBA">
      <w:pPr>
        <w:pBdr>
          <w:top w:val="nil"/>
          <w:left w:val="nil"/>
          <w:bottom w:val="nil"/>
          <w:right w:val="nil"/>
          <w:between w:val="nil"/>
        </w:pBdr>
        <w:shd w:val="clear" w:color="auto" w:fill="FFFFFF"/>
        <w:jc w:val="both"/>
        <w:rPr>
          <w:color w:val="000000"/>
        </w:rPr>
      </w:pPr>
      <w:r>
        <w:rPr>
          <w:noProof/>
          <w:color w:val="000000"/>
        </w:rPr>
        <w:drawing>
          <wp:anchor distT="0" distB="0" distL="114300" distR="114300" simplePos="0" relativeHeight="251658240" behindDoc="0" locked="0" layoutInCell="1" allowOverlap="1" wp14:anchorId="29EEC14D" wp14:editId="06B42F55">
            <wp:simplePos x="0" y="0"/>
            <wp:positionH relativeFrom="margin">
              <wp:align>center</wp:align>
            </wp:positionH>
            <wp:positionV relativeFrom="paragraph">
              <wp:posOffset>177800</wp:posOffset>
            </wp:positionV>
            <wp:extent cx="3271520" cy="1141095"/>
            <wp:effectExtent l="0" t="0" r="5080" b="190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71520" cy="1141095"/>
                    </a:xfrm>
                    <a:prstGeom prst="rect">
                      <a:avLst/>
                    </a:prstGeom>
                  </pic:spPr>
                </pic:pic>
              </a:graphicData>
            </a:graphic>
            <wp14:sizeRelH relativeFrom="page">
              <wp14:pctWidth>0</wp14:pctWidth>
            </wp14:sizeRelH>
            <wp14:sizeRelV relativeFrom="page">
              <wp14:pctHeight>0</wp14:pctHeight>
            </wp14:sizeRelV>
          </wp:anchor>
        </w:drawing>
      </w:r>
    </w:p>
    <w:p w14:paraId="28D58DFA" w14:textId="362A878F" w:rsidR="0071523A" w:rsidRDefault="0071523A" w:rsidP="0071523A">
      <w:pPr>
        <w:jc w:val="center"/>
      </w:pPr>
      <w:r w:rsidRPr="00475DE4">
        <w:t>Рис.1</w:t>
      </w:r>
      <w:r>
        <w:t>.</w:t>
      </w:r>
      <w:r w:rsidRPr="00475DE4">
        <w:t xml:space="preserve"> </w:t>
      </w:r>
      <w:r w:rsidRPr="00475DE4">
        <w:rPr>
          <w:b/>
          <w:bCs/>
        </w:rPr>
        <w:t>А</w:t>
      </w:r>
      <w:r>
        <w:rPr>
          <w:b/>
          <w:bCs/>
        </w:rPr>
        <w:t xml:space="preserve"> </w:t>
      </w:r>
      <w:r w:rsidRPr="00F131F4">
        <w:t>—</w:t>
      </w:r>
      <w:r>
        <w:t xml:space="preserve"> </w:t>
      </w:r>
      <w:r w:rsidRPr="00475DE4">
        <w:t>описание моделью ПСК активности воды при 298,15 К;</w:t>
      </w:r>
      <w:r>
        <w:t xml:space="preserve"> </w:t>
      </w:r>
      <w:r w:rsidRPr="00475DE4">
        <w:rPr>
          <w:b/>
          <w:bCs/>
        </w:rPr>
        <w:t>Б</w:t>
      </w:r>
      <w:r w:rsidRPr="00A12188">
        <w:t xml:space="preserve"> </w:t>
      </w:r>
      <w:r>
        <w:t xml:space="preserve">— </w:t>
      </w:r>
      <w:r w:rsidRPr="00A12188">
        <w:t xml:space="preserve">растворимость </w:t>
      </w:r>
      <w:proofErr w:type="gramStart"/>
      <w:r>
        <w:rPr>
          <w:lang w:val="en-US" w:bidi="en-US"/>
        </w:rPr>
        <w:t>Zn</w:t>
      </w:r>
      <w:r w:rsidRPr="00A12188">
        <w:t>(</w:t>
      </w:r>
      <w:proofErr w:type="gramEnd"/>
      <w:r w:rsidRPr="00A12188">
        <w:rPr>
          <w:lang w:bidi="en-US"/>
        </w:rPr>
        <w:t>CH</w:t>
      </w:r>
      <w:r w:rsidRPr="00A12188">
        <w:rPr>
          <w:vertAlign w:val="subscript"/>
        </w:rPr>
        <w:t>3</w:t>
      </w:r>
      <w:r w:rsidRPr="00A12188">
        <w:rPr>
          <w:lang w:bidi="en-US"/>
        </w:rPr>
        <w:t>SO</w:t>
      </w:r>
      <w:r w:rsidRPr="00A12188">
        <w:rPr>
          <w:vertAlign w:val="subscript"/>
        </w:rPr>
        <w:t>3</w:t>
      </w:r>
      <w:r w:rsidRPr="00A12188">
        <w:t>)</w:t>
      </w:r>
      <w:r w:rsidRPr="00A12188">
        <w:rPr>
          <w:vertAlign w:val="subscript"/>
        </w:rPr>
        <w:t>2</w:t>
      </w:r>
      <w:r w:rsidRPr="00B109B5">
        <w:t>·</w:t>
      </w:r>
      <w:r>
        <w:t>4</w:t>
      </w:r>
      <w:r w:rsidRPr="00B109B5">
        <w:t>H</w:t>
      </w:r>
      <w:r w:rsidRPr="00B109B5">
        <w:rPr>
          <w:vertAlign w:val="subscript"/>
        </w:rPr>
        <w:t>2</w:t>
      </w:r>
      <w:r w:rsidRPr="00B109B5">
        <w:t>O</w:t>
      </w:r>
      <w:r w:rsidRPr="00A12188">
        <w:t xml:space="preserve"> при 298.15 К и 100 кПа</w:t>
      </w:r>
      <w:r>
        <w:t xml:space="preserve"> (красная линия — расчёт, синие круги — эксперимент)</w:t>
      </w:r>
      <w:r w:rsidRPr="00475DE4">
        <w:t>.</w:t>
      </w:r>
    </w:p>
    <w:p w14:paraId="189F3E56" w14:textId="77777777" w:rsidR="00E74519" w:rsidRPr="0071523A" w:rsidRDefault="00E74519" w:rsidP="00356BBA">
      <w:pPr>
        <w:jc w:val="both"/>
      </w:pPr>
    </w:p>
    <w:p w14:paraId="0ECD17C1" w14:textId="355213FD" w:rsidR="002C23DA" w:rsidRDefault="002C23DA" w:rsidP="002C23DA">
      <w:pPr>
        <w:pBdr>
          <w:top w:val="nil"/>
          <w:left w:val="nil"/>
          <w:bottom w:val="nil"/>
          <w:right w:val="nil"/>
          <w:between w:val="nil"/>
        </w:pBdr>
        <w:shd w:val="clear" w:color="auto" w:fill="FFFFFF"/>
        <w:ind w:firstLine="397"/>
        <w:jc w:val="both"/>
        <w:rPr>
          <w:color w:val="000000"/>
        </w:rPr>
      </w:pPr>
      <w:r>
        <w:rPr>
          <w:color w:val="000000"/>
        </w:rPr>
        <w:t>Затем были получены растворимости</w:t>
      </w:r>
      <w:r w:rsidRPr="00EB57CF">
        <w:rPr>
          <w:color w:val="000000"/>
        </w:rPr>
        <w:t xml:space="preserve"> в системах </w:t>
      </w:r>
      <w:r w:rsidRPr="00EB57CF">
        <w:rPr>
          <w:color w:val="000000"/>
          <w:lang w:val="en-US"/>
        </w:rPr>
        <w:t>H</w:t>
      </w:r>
      <w:r w:rsidRPr="00EB57CF">
        <w:rPr>
          <w:color w:val="000000"/>
          <w:vertAlign w:val="subscript"/>
        </w:rPr>
        <w:t>2</w:t>
      </w:r>
      <w:r w:rsidRPr="00EB57CF">
        <w:rPr>
          <w:color w:val="000000"/>
          <w:lang w:val="en-US"/>
        </w:rPr>
        <w:t>O</w:t>
      </w:r>
      <w:r>
        <w:rPr>
          <w:color w:val="000000"/>
        </w:rPr>
        <w:t>–</w:t>
      </w:r>
      <w:r w:rsidRPr="00EB57CF">
        <w:rPr>
          <w:color w:val="000000"/>
          <w:lang w:val="en-US"/>
        </w:rPr>
        <w:t>CH</w:t>
      </w:r>
      <w:r w:rsidRPr="00EB57CF">
        <w:rPr>
          <w:color w:val="000000"/>
          <w:vertAlign w:val="subscript"/>
        </w:rPr>
        <w:t>3</w:t>
      </w:r>
      <w:r w:rsidRPr="00EB57CF">
        <w:rPr>
          <w:color w:val="000000"/>
          <w:lang w:val="en-US"/>
        </w:rPr>
        <w:t>SO</w:t>
      </w:r>
      <w:r w:rsidRPr="00EB57CF">
        <w:rPr>
          <w:color w:val="000000"/>
          <w:vertAlign w:val="subscript"/>
        </w:rPr>
        <w:t>3</w:t>
      </w:r>
      <w:r w:rsidRPr="00EB57CF">
        <w:rPr>
          <w:color w:val="000000"/>
          <w:lang w:val="en-US"/>
        </w:rPr>
        <w:t>H</w:t>
      </w:r>
      <w:r>
        <w:rPr>
          <w:color w:val="000000"/>
        </w:rPr>
        <w:t>–</w:t>
      </w:r>
      <w:proofErr w:type="gramStart"/>
      <w:r w:rsidRPr="00EB57CF">
        <w:rPr>
          <w:color w:val="000000"/>
          <w:lang w:val="en-US"/>
        </w:rPr>
        <w:t>Me</w:t>
      </w:r>
      <w:r w:rsidRPr="00EB57CF">
        <w:rPr>
          <w:color w:val="000000"/>
        </w:rPr>
        <w:t>(</w:t>
      </w:r>
      <w:proofErr w:type="gramEnd"/>
      <w:r w:rsidRPr="00EB57CF">
        <w:rPr>
          <w:color w:val="000000"/>
          <w:lang w:val="en-US"/>
        </w:rPr>
        <w:t>CH</w:t>
      </w:r>
      <w:r w:rsidRPr="00EB57CF">
        <w:rPr>
          <w:color w:val="000000"/>
          <w:vertAlign w:val="subscript"/>
        </w:rPr>
        <w:t>3</w:t>
      </w:r>
      <w:r w:rsidRPr="00EB57CF">
        <w:rPr>
          <w:color w:val="000000"/>
          <w:lang w:val="en-US"/>
        </w:rPr>
        <w:t>SO</w:t>
      </w:r>
      <w:r w:rsidRPr="00EB57CF">
        <w:rPr>
          <w:color w:val="000000"/>
          <w:vertAlign w:val="subscript"/>
        </w:rPr>
        <w:t>3</w:t>
      </w:r>
      <w:r w:rsidRPr="00EB57CF">
        <w:rPr>
          <w:color w:val="000000"/>
        </w:rPr>
        <w:t>)</w:t>
      </w:r>
      <w:r w:rsidRPr="00EB57CF">
        <w:rPr>
          <w:color w:val="000000"/>
          <w:vertAlign w:val="subscript"/>
        </w:rPr>
        <w:t>2</w:t>
      </w:r>
      <w:r w:rsidRPr="00EB57CF">
        <w:rPr>
          <w:color w:val="000000"/>
        </w:rPr>
        <w:t xml:space="preserve"> (</w:t>
      </w:r>
      <w:r w:rsidRPr="00EB57CF">
        <w:rPr>
          <w:color w:val="000000"/>
          <w:lang w:val="en-US"/>
        </w:rPr>
        <w:t>Me</w:t>
      </w:r>
      <w:r>
        <w:rPr>
          <w:color w:val="000000"/>
        </w:rPr>
        <w:t> </w:t>
      </w:r>
      <w:r w:rsidRPr="00EB57CF">
        <w:rPr>
          <w:color w:val="000000"/>
        </w:rPr>
        <w:t>=</w:t>
      </w:r>
      <w:r>
        <w:rPr>
          <w:color w:val="000000"/>
        </w:rPr>
        <w:t> </w:t>
      </w:r>
      <w:r w:rsidRPr="00EB57CF">
        <w:rPr>
          <w:color w:val="000000"/>
          <w:lang w:val="en-US"/>
        </w:rPr>
        <w:t>Ni</w:t>
      </w:r>
      <w:r w:rsidRPr="00EB57CF">
        <w:rPr>
          <w:color w:val="000000"/>
        </w:rPr>
        <w:t xml:space="preserve">, </w:t>
      </w:r>
      <w:r w:rsidRPr="00EB57CF">
        <w:rPr>
          <w:color w:val="000000"/>
          <w:lang w:val="en-US"/>
        </w:rPr>
        <w:t>Zn</w:t>
      </w:r>
      <w:r>
        <w:rPr>
          <w:color w:val="000000"/>
        </w:rPr>
        <w:t xml:space="preserve">, </w:t>
      </w:r>
      <w:proofErr w:type="spellStart"/>
      <w:r>
        <w:rPr>
          <w:color w:val="000000"/>
        </w:rPr>
        <w:t>Mn</w:t>
      </w:r>
      <w:proofErr w:type="spellEnd"/>
      <w:r>
        <w:rPr>
          <w:color w:val="000000"/>
        </w:rPr>
        <w:t>) при 298.15 К (</w:t>
      </w:r>
      <w:r>
        <w:rPr>
          <w:color w:val="000000"/>
          <w:lang w:val="en-US"/>
        </w:rPr>
        <w:t>Me</w:t>
      </w:r>
      <w:r>
        <w:rPr>
          <w:color w:val="000000"/>
        </w:rPr>
        <w:t> </w:t>
      </w:r>
      <w:r w:rsidRPr="00B93280">
        <w:rPr>
          <w:color w:val="000000"/>
        </w:rPr>
        <w:t>=</w:t>
      </w:r>
      <w:r>
        <w:rPr>
          <w:color w:val="000000"/>
        </w:rPr>
        <w:t> </w:t>
      </w:r>
      <w:r>
        <w:rPr>
          <w:color w:val="000000"/>
          <w:lang w:val="en-US"/>
        </w:rPr>
        <w:t>Zn</w:t>
      </w:r>
      <w:r w:rsidRPr="00B93280">
        <w:rPr>
          <w:color w:val="000000"/>
        </w:rPr>
        <w:t xml:space="preserve"> на </w:t>
      </w:r>
      <w:r>
        <w:rPr>
          <w:color w:val="000000"/>
        </w:rPr>
        <w:t>рис. 1б),</w:t>
      </w:r>
      <w:r w:rsidRPr="00106BF6">
        <w:rPr>
          <w:color w:val="000000"/>
        </w:rPr>
        <w:t xml:space="preserve"> и</w:t>
      </w:r>
      <w:r>
        <w:rPr>
          <w:color w:val="000000"/>
        </w:rPr>
        <w:t xml:space="preserve"> получены недостающие данные VLE. Эти данные не описываются только двойными параметрами, поэтому была проведена оптимизация тройных параметров.</w:t>
      </w:r>
    </w:p>
    <w:p w14:paraId="6D14FF28" w14:textId="77777777" w:rsidR="002C23DA" w:rsidRPr="004632AB" w:rsidRDefault="002C23DA" w:rsidP="002C23DA">
      <w:pPr>
        <w:pBdr>
          <w:top w:val="nil"/>
          <w:left w:val="nil"/>
          <w:bottom w:val="nil"/>
          <w:right w:val="nil"/>
          <w:between w:val="nil"/>
        </w:pBdr>
        <w:shd w:val="clear" w:color="auto" w:fill="FFFFFF"/>
        <w:ind w:firstLine="397"/>
        <w:jc w:val="both"/>
        <w:rPr>
          <w:i/>
          <w:iCs/>
          <w:color w:val="000000"/>
        </w:rPr>
      </w:pPr>
      <w:r w:rsidRPr="004632AB">
        <w:rPr>
          <w:i/>
          <w:color w:val="000000"/>
        </w:rPr>
        <w:t>Работа выполнена при поддержке гранта РНФ 21-73-00039.</w:t>
      </w:r>
    </w:p>
    <w:p w14:paraId="598D9CA3" w14:textId="77777777" w:rsidR="002C23DA" w:rsidRPr="00DC7CC0" w:rsidRDefault="002C23DA" w:rsidP="002C23DA">
      <w:pPr>
        <w:pBdr>
          <w:top w:val="nil"/>
          <w:left w:val="nil"/>
          <w:bottom w:val="nil"/>
          <w:right w:val="nil"/>
          <w:between w:val="nil"/>
        </w:pBdr>
        <w:shd w:val="clear" w:color="auto" w:fill="FFFFFF"/>
        <w:jc w:val="center"/>
        <w:rPr>
          <w:color w:val="000000"/>
          <w:lang w:val="en-US"/>
        </w:rPr>
      </w:pPr>
      <w:r>
        <w:rPr>
          <w:b/>
          <w:color w:val="000000"/>
        </w:rPr>
        <w:t>Литература</w:t>
      </w:r>
    </w:p>
    <w:p w14:paraId="28BF03D7" w14:textId="77777777" w:rsidR="002C23DA" w:rsidRPr="00024C4B" w:rsidRDefault="002C23DA" w:rsidP="002C23DA">
      <w:pPr>
        <w:pStyle w:val="1"/>
      </w:pPr>
      <w:r>
        <w:fldChar w:fldCharType="begin"/>
      </w:r>
      <w:r>
        <w:instrText xml:space="preserve"> ADDIN ZOTERO_BIBL {"uncited":[],"omitted":[],"custom":[]} CSL_BIBLIOGRAPHY </w:instrText>
      </w:r>
      <w:r>
        <w:fldChar w:fldCharType="separate"/>
      </w:r>
      <w:r w:rsidRPr="00024C4B">
        <w:t>1.</w:t>
      </w:r>
      <w:r w:rsidRPr="00024C4B">
        <w:tab/>
        <w:t>Binnemans K., Jones P.T. Methanesulfonic Acid (MSA) in Hydrometallurgy // J. Sustain. Metall. 2022.</w:t>
      </w:r>
    </w:p>
    <w:p w14:paraId="430314CA" w14:textId="77777777" w:rsidR="00C06ABE" w:rsidRDefault="002C23DA" w:rsidP="002C23DA">
      <w:r w:rsidRPr="004632AB">
        <w:rPr>
          <w:lang w:val="en-US"/>
        </w:rPr>
        <w:t>2.</w:t>
      </w:r>
      <w:r w:rsidRPr="004632AB">
        <w:rPr>
          <w:lang w:val="en-US"/>
        </w:rPr>
        <w:tab/>
        <w:t xml:space="preserve">Belova E.V. et al. Solid-liquid phase equilibrium in the water–Zn(II) methanesulfonate and water–Cu(II) methanesulfonate systems // Thermochim. </w:t>
      </w:r>
      <w:r w:rsidRPr="00024C4B">
        <w:t>Acta. 2018. Vol. 668. P. 46</w:t>
      </w:r>
      <w:r>
        <w:t xml:space="preserve"> </w:t>
      </w:r>
      <w:r w:rsidRPr="00024C4B">
        <w:t>–</w:t>
      </w:r>
      <w:r>
        <w:t xml:space="preserve"> </w:t>
      </w:r>
      <w:r w:rsidRPr="00024C4B">
        <w:t>57.</w:t>
      </w:r>
      <w:r>
        <w:fldChar w:fldCharType="end"/>
      </w:r>
    </w:p>
    <w:sectPr w:rsidR="00C06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CC"/>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DA"/>
    <w:rsid w:val="002C23DA"/>
    <w:rsid w:val="00356BBA"/>
    <w:rsid w:val="006F4FFD"/>
    <w:rsid w:val="0071523A"/>
    <w:rsid w:val="0074531C"/>
    <w:rsid w:val="00AC6C19"/>
    <w:rsid w:val="00C06ABE"/>
    <w:rsid w:val="00E74519"/>
    <w:rsid w:val="00F13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5DB2"/>
  <w15:chartTrackingRefBased/>
  <w15:docId w15:val="{DD6CA687-76BE-4DCF-9485-A3194CD5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3DA"/>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писок литературы1"/>
    <w:basedOn w:val="a"/>
    <w:link w:val="Bibliography"/>
    <w:rsid w:val="002C23DA"/>
    <w:pPr>
      <w:pBdr>
        <w:top w:val="nil"/>
        <w:left w:val="nil"/>
        <w:bottom w:val="nil"/>
        <w:right w:val="nil"/>
        <w:between w:val="nil"/>
      </w:pBdr>
      <w:shd w:val="clear" w:color="auto" w:fill="FFFFFF"/>
      <w:tabs>
        <w:tab w:val="left" w:pos="260"/>
      </w:tabs>
      <w:ind w:left="264" w:hanging="264"/>
      <w:jc w:val="both"/>
    </w:pPr>
    <w:rPr>
      <w:color w:val="000000"/>
      <w:kern w:val="0"/>
      <w:szCs w:val="24"/>
      <w:lang w:val="en-US"/>
    </w:rPr>
  </w:style>
  <w:style w:type="character" w:customStyle="1" w:styleId="Bibliography">
    <w:name w:val="Bibliography Знак"/>
    <w:basedOn w:val="a0"/>
    <w:link w:val="1"/>
    <w:rsid w:val="002C23DA"/>
    <w:rPr>
      <w:rFonts w:ascii="Times New Roman" w:eastAsia="Times New Roman" w:hAnsi="Times New Roman" w:cs="Times New Roman"/>
      <w:color w:val="000000"/>
      <w:sz w:val="24"/>
      <w:szCs w:val="24"/>
      <w:shd w:val="clear" w:color="auto" w:fill="FFFFFF"/>
      <w:lang w:val="en-US" w:eastAsia="ru-RU"/>
    </w:rPr>
  </w:style>
  <w:style w:type="character" w:styleId="a3">
    <w:name w:val="annotation reference"/>
    <w:basedOn w:val="a0"/>
    <w:rsid w:val="002C23DA"/>
    <w:rPr>
      <w:sz w:val="16"/>
      <w:szCs w:val="16"/>
    </w:rPr>
  </w:style>
  <w:style w:type="paragraph" w:styleId="a4">
    <w:name w:val="Balloon Text"/>
    <w:basedOn w:val="a"/>
    <w:link w:val="a5"/>
    <w:uiPriority w:val="99"/>
    <w:semiHidden/>
    <w:unhideWhenUsed/>
    <w:rsid w:val="002C23DA"/>
    <w:rPr>
      <w:rFonts w:ascii="Segoe UI" w:hAnsi="Segoe UI" w:cs="Segoe UI"/>
      <w:sz w:val="18"/>
      <w:szCs w:val="18"/>
    </w:rPr>
  </w:style>
  <w:style w:type="character" w:customStyle="1" w:styleId="a5">
    <w:name w:val="Текст выноски Знак"/>
    <w:basedOn w:val="a0"/>
    <w:link w:val="a4"/>
    <w:uiPriority w:val="99"/>
    <w:semiHidden/>
    <w:rsid w:val="002C23DA"/>
    <w:rPr>
      <w:rFonts w:ascii="Segoe UI" w:eastAsia="Times New Roman" w:hAnsi="Segoe UI" w:cs="Segoe UI"/>
      <w:kern w:val="24"/>
      <w:sz w:val="18"/>
      <w:szCs w:val="18"/>
      <w:lang w:eastAsia="ru-RU"/>
    </w:rPr>
  </w:style>
  <w:style w:type="paragraph" w:styleId="a6">
    <w:name w:val="annotation text"/>
    <w:basedOn w:val="a"/>
    <w:link w:val="a7"/>
    <w:uiPriority w:val="99"/>
    <w:semiHidden/>
    <w:unhideWhenUsed/>
    <w:rsid w:val="00F131F4"/>
    <w:rPr>
      <w:sz w:val="20"/>
    </w:rPr>
  </w:style>
  <w:style w:type="character" w:customStyle="1" w:styleId="a7">
    <w:name w:val="Текст примечания Знак"/>
    <w:basedOn w:val="a0"/>
    <w:link w:val="a6"/>
    <w:uiPriority w:val="99"/>
    <w:semiHidden/>
    <w:rsid w:val="00F131F4"/>
    <w:rPr>
      <w:rFonts w:ascii="Times New Roman" w:eastAsia="Times New Roman" w:hAnsi="Times New Roman" w:cs="Times New Roman"/>
      <w:kern w:val="24"/>
      <w:sz w:val="20"/>
      <w:szCs w:val="20"/>
      <w:lang w:eastAsia="ru-RU"/>
    </w:rPr>
  </w:style>
  <w:style w:type="paragraph" w:styleId="a8">
    <w:name w:val="annotation subject"/>
    <w:basedOn w:val="a6"/>
    <w:next w:val="a6"/>
    <w:link w:val="a9"/>
    <w:uiPriority w:val="99"/>
    <w:semiHidden/>
    <w:unhideWhenUsed/>
    <w:rsid w:val="00F131F4"/>
    <w:rPr>
      <w:b/>
      <w:bCs/>
    </w:rPr>
  </w:style>
  <w:style w:type="character" w:customStyle="1" w:styleId="a9">
    <w:name w:val="Тема примечания Знак"/>
    <w:basedOn w:val="a7"/>
    <w:link w:val="a8"/>
    <w:uiPriority w:val="99"/>
    <w:semiHidden/>
    <w:rsid w:val="00F131F4"/>
    <w:rPr>
      <w:rFonts w:ascii="Times New Roman" w:eastAsia="Times New Roman" w:hAnsi="Times New Roman" w:cs="Times New Roman"/>
      <w:b/>
      <w:bCs/>
      <w:kern w:val="2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Капелюшников Андрей</cp:lastModifiedBy>
  <cp:revision>7</cp:revision>
  <dcterms:created xsi:type="dcterms:W3CDTF">2023-03-06T18:02:00Z</dcterms:created>
  <dcterms:modified xsi:type="dcterms:W3CDTF">2023-03-06T18:12:00Z</dcterms:modified>
</cp:coreProperties>
</file>