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00" w:rsidRPr="007D5900" w:rsidRDefault="009D7D33" w:rsidP="007D5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Подключение</w:t>
      </w:r>
      <w:r w:rsidR="007D5900" w:rsidRPr="007D5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двух дополнительных </w:t>
      </w:r>
      <w:proofErr w:type="gramStart"/>
      <w:r w:rsidR="007D5900" w:rsidRPr="007D5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сечений поверхности потенциальной энергии процесса заторможенного внутреннего вращения</w:t>
      </w:r>
      <w:proofErr w:type="gramEnd"/>
      <w:r w:rsidR="007D5900" w:rsidRPr="007D5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вокруг связи С</w:t>
      </w:r>
      <w:r w:rsidR="007D5900" w:rsidRPr="007D590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1</w:t>
      </w:r>
      <w:r w:rsidR="007D5900" w:rsidRPr="007D5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-С</w:t>
      </w:r>
      <w:r w:rsidR="007D5900" w:rsidRPr="007D590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9</w:t>
      </w:r>
      <w:r w:rsidR="007D5900" w:rsidRPr="007D5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винилциклопропана для оценки параметров спектров ЯМР</w:t>
      </w:r>
    </w:p>
    <w:p w:rsidR="009F0F52" w:rsidRPr="009F0F52" w:rsidRDefault="007D5900" w:rsidP="009F0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Маликов Алексей Андреевич</w:t>
      </w:r>
      <w:r w:rsidR="009F0F52" w:rsidRPr="009F0F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9F0F52" w:rsidRPr="009F0F52" w:rsidRDefault="009F0F52" w:rsidP="009F0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4 курс специалитета </w:t>
      </w:r>
    </w:p>
    <w:p w:rsidR="009F0F52" w:rsidRPr="009F0F52" w:rsidRDefault="009F0F52" w:rsidP="009F0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9F0F52" w:rsidRPr="009F0F52" w:rsidRDefault="009F0F52" w:rsidP="009F0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:rsidR="009F0F52" w:rsidRPr="007A6082" w:rsidRDefault="009F0F52" w:rsidP="00692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F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7A6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9F0F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7A60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 w:rsidR="007D5900" w:rsidRPr="007D590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malikov</w:t>
      </w:r>
      <w:r w:rsidR="007D5900" w:rsidRPr="007A60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 w:rsidR="007D5900" w:rsidRPr="007D590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aa</w:t>
      </w:r>
      <w:r w:rsidR="007D5900" w:rsidRPr="007A60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.0604@</w:t>
      </w:r>
      <w:r w:rsidR="007D5900" w:rsidRPr="007D590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gmail</w:t>
      </w:r>
      <w:r w:rsidR="007D5900" w:rsidRPr="007A608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 w:rsidR="007D5900" w:rsidRPr="007D590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com</w:t>
      </w:r>
    </w:p>
    <w:p w:rsidR="00692274" w:rsidRDefault="00692274" w:rsidP="00692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главный аспект изучения конформационной динамики сместился в область анализа молекулярных структур динамических объектов. Необходимость исследовать быстрые и сверхбыстрые процессы стимулировала развитие специального раздела молекулярной динамики, основанного на модели колебаний с большой амплитудой. При этом рассматриваемые объекты характеризуются не дискретным набором состояний, а непрерывным множеством конформаций с плавно меняющимися свойствами</w:t>
      </w:r>
      <w:r w:rsid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корректной постановке задач молекулярной динамики возник целый ряд новых терминов: поверхности потенциальной энергии (ППЭ), поверхности дипольных моментов, поверхности химических сдвигов, поверхности констант спин-спинового взаимо</w:t>
      </w:r>
      <w:r w:rsidR="000B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(КССВ).</w:t>
      </w:r>
      <w:r w:rsidR="00F9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92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время</w:t>
      </w:r>
      <w:r w:rsidR="00F9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характеристики</w:t>
      </w:r>
      <w:r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конформаци</w:t>
      </w:r>
      <w:r w:rsidR="00F9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онного состояния</w:t>
      </w:r>
      <w:r w:rsidR="00992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молекул методом ЯМР широко используются</w:t>
      </w:r>
      <w:r w:rsidR="00F9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КССВ, которые</w:t>
      </w:r>
      <w:r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026"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чувствуют» особенности геометрии молекулы и относительно слабо зависят от эффектов среды и межмолекулярных взаимодействий</w:t>
      </w:r>
      <w:r w:rsid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7D62F6" w:rsidRP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69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6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Очевидно, однако, эти заключения требую</w:t>
      </w:r>
      <w:r w:rsidR="00F9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более надежного теоретического обоснования.</w:t>
      </w:r>
    </w:p>
    <w:p w:rsidR="00692274" w:rsidRPr="007D62F6" w:rsidRDefault="00692274" w:rsidP="00692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D62F6">
        <w:rPr>
          <w:rFonts w:ascii="Times New Roman" w:eastAsia="Calibri" w:hAnsi="Times New Roman" w:cs="Times New Roman"/>
          <w:sz w:val="24"/>
          <w:szCs w:val="26"/>
        </w:rPr>
        <w:t>В качестве исследуемого</w:t>
      </w:r>
      <w:r w:rsidR="007A6082">
        <w:rPr>
          <w:rFonts w:ascii="Times New Roman" w:eastAsia="Calibri" w:hAnsi="Times New Roman" w:cs="Times New Roman"/>
          <w:sz w:val="24"/>
          <w:szCs w:val="26"/>
        </w:rPr>
        <w:t xml:space="preserve"> объекта в настоящей работе </w:t>
      </w:r>
      <w:r w:rsidRPr="007D62F6">
        <w:rPr>
          <w:rFonts w:ascii="Times New Roman" w:eastAsia="Calibri" w:hAnsi="Times New Roman" w:cs="Times New Roman"/>
          <w:sz w:val="24"/>
          <w:szCs w:val="26"/>
        </w:rPr>
        <w:t>выбран винилциклопропан</w:t>
      </w:r>
      <w:r w:rsidR="007A6082">
        <w:rPr>
          <w:rFonts w:ascii="Times New Roman" w:eastAsia="Calibri" w:hAnsi="Times New Roman" w:cs="Times New Roman"/>
          <w:sz w:val="24"/>
          <w:szCs w:val="26"/>
        </w:rPr>
        <w:t xml:space="preserve">, совершающий заторможенное внутреннее вращение по </w:t>
      </w:r>
      <w:r w:rsidR="007A6082">
        <w:rPr>
          <w:rFonts w:ascii="Times New Roman" w:hAnsi="Times New Roman" w:cs="Times New Roman"/>
          <w:sz w:val="24"/>
        </w:rPr>
        <w:t>двугранному углу 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3</w:t>
      </w:r>
      <w:r w:rsidR="007A6082">
        <w:rPr>
          <w:rFonts w:ascii="Times New Roman" w:hAnsi="Times New Roman" w:cs="Times New Roman"/>
          <w:sz w:val="24"/>
        </w:rPr>
        <w:t>-С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1</w:t>
      </w:r>
      <w:r w:rsidR="007A6082">
        <w:rPr>
          <w:rFonts w:ascii="Times New Roman" w:hAnsi="Times New Roman" w:cs="Times New Roman"/>
          <w:sz w:val="24"/>
        </w:rPr>
        <w:t>-С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9</w:t>
      </w:r>
      <w:r w:rsidR="007A6082">
        <w:rPr>
          <w:rFonts w:ascii="Times New Roman" w:hAnsi="Times New Roman" w:cs="Times New Roman"/>
          <w:sz w:val="24"/>
        </w:rPr>
        <w:t>-С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11</w:t>
      </w:r>
      <w:r w:rsidRPr="007D62F6">
        <w:rPr>
          <w:rFonts w:ascii="Times New Roman" w:eastAsia="Calibri" w:hAnsi="Times New Roman" w:cs="Times New Roman"/>
          <w:sz w:val="24"/>
          <w:szCs w:val="26"/>
        </w:rPr>
        <w:t>.</w:t>
      </w:r>
    </w:p>
    <w:p w:rsidR="00692274" w:rsidRDefault="00E7772D" w:rsidP="00E77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Cs w:val="26"/>
        </w:rPr>
      </w:pPr>
      <w:r>
        <w:rPr>
          <w:rFonts w:ascii="Times New Roman" w:eastAsia="Calibri" w:hAnsi="Times New Roman" w:cs="Times New Roman"/>
          <w:noProof/>
          <w:szCs w:val="26"/>
          <w:lang w:eastAsia="ru-RU"/>
        </w:rPr>
        <w:drawing>
          <wp:inline distT="0" distB="0" distL="0" distR="0">
            <wp:extent cx="2004060" cy="16616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CP_gl_min_0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170" cy="167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883">
        <w:rPr>
          <w:rFonts w:ascii="Times New Roman" w:eastAsia="Calibri" w:hAnsi="Times New Roman" w:cs="Times New Roman"/>
          <w:szCs w:val="26"/>
        </w:rPr>
        <w:tab/>
      </w:r>
      <w:r>
        <w:rPr>
          <w:rFonts w:ascii="Times New Roman" w:eastAsia="Calibri" w:hAnsi="Times New Roman" w:cs="Times New Roman"/>
          <w:noProof/>
          <w:szCs w:val="26"/>
          <w:lang w:eastAsia="ru-RU"/>
        </w:rPr>
        <w:drawing>
          <wp:inline distT="0" distB="0" distL="0" distR="0">
            <wp:extent cx="1775460" cy="1767534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CP_loc_min_0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267" cy="176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274" w:rsidRPr="002F1883" w:rsidRDefault="00E7772D" w:rsidP="009920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1. </w:t>
      </w:r>
      <w:r w:rsidR="007A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Конформации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молекулы винилциклопропана в глобальном </w:t>
      </w:r>
      <w:r w:rsidR="007A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A6082" w:rsidRPr="00064E71">
        <w:rPr>
          <w:rFonts w:ascii="Arial" w:eastAsia="Times New Roman" w:hAnsi="Arial" w:cs="Arial"/>
          <w:b/>
          <w:color w:val="000000"/>
          <w:lang w:eastAsia="ru-RU"/>
        </w:rPr>
        <w:t>А</w:t>
      </w:r>
      <w:r w:rsidR="007A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A6082">
        <w:rPr>
          <w:rFonts w:ascii="Times New Roman" w:hAnsi="Times New Roman" w:cs="Times New Roman"/>
          <w:sz w:val="24"/>
        </w:rPr>
        <w:t>и</w:t>
      </w:r>
      <w:r w:rsidR="002F1883" w:rsidRPr="002F1883">
        <w:rPr>
          <w:rFonts w:ascii="Times New Roman" w:hAnsi="Times New Roman" w:cs="Times New Roman"/>
          <w:sz w:val="24"/>
        </w:rPr>
        <w:t xml:space="preserve"> локальном </w:t>
      </w:r>
      <w:r w:rsidR="007A6082">
        <w:rPr>
          <w:rFonts w:ascii="Times New Roman" w:hAnsi="Times New Roman" w:cs="Times New Roman"/>
          <w:sz w:val="24"/>
        </w:rPr>
        <w:t>(</w:t>
      </w:r>
      <w:r w:rsidR="007A6082" w:rsidRPr="00064E71">
        <w:rPr>
          <w:rFonts w:ascii="Arial" w:hAnsi="Arial" w:cs="Arial"/>
          <w:b/>
        </w:rPr>
        <w:t>Б</w:t>
      </w:r>
      <w:r w:rsidR="007A6082">
        <w:rPr>
          <w:rFonts w:ascii="Times New Roman" w:hAnsi="Times New Roman" w:cs="Times New Roman"/>
          <w:sz w:val="24"/>
        </w:rPr>
        <w:t>) минимумах сечения ППЭ по двугранному углу 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3</w:t>
      </w:r>
      <w:r w:rsidR="007A6082">
        <w:rPr>
          <w:rFonts w:ascii="Times New Roman" w:hAnsi="Times New Roman" w:cs="Times New Roman"/>
          <w:sz w:val="24"/>
        </w:rPr>
        <w:t>-С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1</w:t>
      </w:r>
      <w:r w:rsidR="007A6082">
        <w:rPr>
          <w:rFonts w:ascii="Times New Roman" w:hAnsi="Times New Roman" w:cs="Times New Roman"/>
          <w:sz w:val="24"/>
        </w:rPr>
        <w:t>-С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9</w:t>
      </w:r>
      <w:r w:rsidR="007A6082">
        <w:rPr>
          <w:rFonts w:ascii="Times New Roman" w:hAnsi="Times New Roman" w:cs="Times New Roman"/>
          <w:sz w:val="24"/>
        </w:rPr>
        <w:t>-С</w:t>
      </w:r>
      <w:r w:rsidR="007A6082" w:rsidRPr="007A6082">
        <w:rPr>
          <w:rFonts w:ascii="Times New Roman" w:hAnsi="Times New Roman" w:cs="Times New Roman"/>
          <w:sz w:val="24"/>
          <w:vertAlign w:val="subscript"/>
        </w:rPr>
        <w:t>11</w:t>
      </w:r>
      <w:r w:rsidR="007A6082">
        <w:rPr>
          <w:rFonts w:ascii="Times New Roman" w:hAnsi="Times New Roman" w:cs="Times New Roman"/>
          <w:sz w:val="24"/>
        </w:rPr>
        <w:t>.</w:t>
      </w:r>
    </w:p>
    <w:p w:rsidR="002F1883" w:rsidRDefault="00080869" w:rsidP="002F18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остроены 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</w:t>
      </w:r>
      <w:r w:rsidR="007A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</w:t>
      </w:r>
      <w:r w:rsidR="000B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="007A6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ельных 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сечения поверхности потенциальной энергии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зоне глобального и локального минимумов в рамках приближения Мейера-Плессета второго порядка с базисными функциями 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aug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CC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pVTZ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2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асчеты кон</w:t>
      </w:r>
      <w:r w:rsidR="00A2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формационных зависимостей КССВ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21041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роведены 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приближении 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LYP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базисным набором 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aug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CC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pVTZ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четырёх вкладов: Ферми-контактного, диамагнитного и парамагнитного спин-орбитальных и спин-дипольного.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оправки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полученные </w:t>
      </w:r>
      <w:r w:rsidR="00A2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учете динамики колебаний вдоль этих дополнительных сечений ППЭ</w:t>
      </w:r>
      <w:r w:rsid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6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небольшую величину </w:t>
      </w:r>
      <w:r w:rsidR="00064E71" w:rsidRPr="0006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(0.03 – 0.04 </w:t>
      </w:r>
      <w:r w:rsidR="0006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r w:rsidR="00064E71" w:rsidRPr="00064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</w:t>
      </w:r>
      <w:bookmarkStart w:id="0" w:name="_GoBack"/>
      <w:bookmarkEnd w:id="0"/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значимо улучшает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экспериментальных и расчетных значений</w:t>
      </w:r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 основных</w:t>
      </w:r>
      <w:r w:rsidR="00A21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вицинальных КССВ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F1883" w:rsidRPr="00057D41">
        <w:rPr>
          <w:rFonts w:ascii="Times New Roman" w:hAnsi="Times New Roman" w:cs="Times New Roman"/>
          <w:vertAlign w:val="superscript"/>
        </w:rPr>
        <w:t>3</w:t>
      </w:r>
      <w:r w:rsidR="002F1883" w:rsidRPr="00057D41">
        <w:rPr>
          <w:rFonts w:ascii="Times New Roman" w:eastAsiaTheme="minorEastAsia" w:hAnsi="Times New Roman" w:cs="Times New Roman"/>
          <w:lang w:val="en-US"/>
        </w:rPr>
        <w:t>J</w:t>
      </w:r>
      <w:r w:rsidR="002F1883" w:rsidRPr="00057D41">
        <w:rPr>
          <w:rFonts w:ascii="Times New Roman" w:eastAsiaTheme="minorEastAsia" w:hAnsi="Times New Roman" w:cs="Times New Roman"/>
          <w:vertAlign w:val="subscript"/>
        </w:rPr>
        <w:t>4-10</w:t>
      </w:r>
      <w:r w:rsidR="002F1883">
        <w:rPr>
          <w:rFonts w:ascii="Times New Roman" w:eastAsiaTheme="minorEastAsia" w:hAnsi="Times New Roman" w:cs="Times New Roman"/>
        </w:rPr>
        <w:t xml:space="preserve">, </w:t>
      </w:r>
      <w:r w:rsidR="002F1883" w:rsidRPr="00057D41">
        <w:rPr>
          <w:rFonts w:ascii="Times New Roman" w:eastAsiaTheme="minorEastAsia" w:hAnsi="Times New Roman" w:cs="Times New Roman"/>
          <w:vertAlign w:val="superscript"/>
        </w:rPr>
        <w:t>3</w:t>
      </w:r>
      <w:r w:rsidR="002F1883" w:rsidRPr="00057D41">
        <w:rPr>
          <w:rFonts w:ascii="Times New Roman" w:eastAsiaTheme="minorEastAsia" w:hAnsi="Times New Roman" w:cs="Times New Roman"/>
          <w:lang w:val="en-US"/>
        </w:rPr>
        <w:t>J</w:t>
      </w:r>
      <w:r w:rsidR="002F1883" w:rsidRPr="00057D41">
        <w:rPr>
          <w:rFonts w:ascii="Times New Roman" w:eastAsiaTheme="minorEastAsia" w:hAnsi="Times New Roman" w:cs="Times New Roman"/>
          <w:vertAlign w:val="subscript"/>
        </w:rPr>
        <w:t>4-5</w:t>
      </w:r>
      <w:r w:rsidR="002F1883">
        <w:rPr>
          <w:rFonts w:ascii="Times New Roman" w:eastAsiaTheme="minorEastAsia" w:hAnsi="Times New Roman" w:cs="Times New Roman"/>
        </w:rPr>
        <w:t xml:space="preserve">, </w:t>
      </w:r>
      <w:r w:rsidR="002F1883" w:rsidRPr="00057D41">
        <w:rPr>
          <w:rFonts w:ascii="Times New Roman" w:eastAsiaTheme="minorEastAsia" w:hAnsi="Times New Roman" w:cs="Times New Roman"/>
          <w:vertAlign w:val="superscript"/>
        </w:rPr>
        <w:t>3</w:t>
      </w:r>
      <w:r w:rsidR="002F1883" w:rsidRPr="00057D41">
        <w:rPr>
          <w:rFonts w:ascii="Times New Roman" w:eastAsiaTheme="minorEastAsia" w:hAnsi="Times New Roman" w:cs="Times New Roman"/>
          <w:lang w:val="en-US"/>
        </w:rPr>
        <w:t>J</w:t>
      </w:r>
      <w:r w:rsidR="002F1883" w:rsidRPr="00057D41">
        <w:rPr>
          <w:rFonts w:ascii="Times New Roman" w:eastAsiaTheme="minorEastAsia" w:hAnsi="Times New Roman" w:cs="Times New Roman"/>
          <w:vertAlign w:val="subscript"/>
        </w:rPr>
        <w:t>4-6</w:t>
      </w:r>
      <w:r w:rsid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фактор следует учитывать при построении</w:t>
      </w:r>
      <w:r w:rsidR="00CA7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новых, </w:t>
      </w:r>
      <w:r w:rsidR="00CA7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точных </w:t>
      </w:r>
      <w:r w:rsidR="00CA7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вну</w:t>
      </w:r>
      <w:r w:rsidR="00CA7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треннего вращения </w:t>
      </w:r>
      <w:r w:rsidR="004C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конформационно подвижных органических</w:t>
      </w:r>
      <w:r w:rsidR="00CA7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соединениях</w:t>
      </w:r>
      <w:r w:rsidR="002F1883" w:rsidRPr="002F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62F6" w:rsidRPr="007D62F6" w:rsidRDefault="007D62F6" w:rsidP="009D7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62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E7772D" w:rsidRDefault="007D62F6" w:rsidP="007D62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E7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Ю.Ю. Русаков, Л.</w:t>
      </w:r>
      <w:r w:rsidRP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Кривдин. Современные квантово-химические методы расчета констант спин-спинового взаимодействия: теоретические основы и структурные приложения в химии // </w:t>
      </w:r>
      <w:r w:rsidRPr="007D6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Успехи химии</w:t>
      </w:r>
      <w:r w:rsidRP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D62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2013</w:t>
      </w:r>
      <w:r w:rsidRPr="007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том 82, С. 99-130.</w:t>
      </w:r>
      <w:r w:rsidR="00E77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E777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52"/>
    <w:rsid w:val="00064E71"/>
    <w:rsid w:val="00080869"/>
    <w:rsid w:val="000B1AF2"/>
    <w:rsid w:val="001E7C8C"/>
    <w:rsid w:val="002857CF"/>
    <w:rsid w:val="002F1883"/>
    <w:rsid w:val="004C1E3B"/>
    <w:rsid w:val="00692274"/>
    <w:rsid w:val="007A6082"/>
    <w:rsid w:val="007D5900"/>
    <w:rsid w:val="007D62F6"/>
    <w:rsid w:val="00992026"/>
    <w:rsid w:val="009D7D33"/>
    <w:rsid w:val="009F0F52"/>
    <w:rsid w:val="00A21041"/>
    <w:rsid w:val="00CA6288"/>
    <w:rsid w:val="00CA79AF"/>
    <w:rsid w:val="00E7772D"/>
    <w:rsid w:val="00F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08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0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Маликов</dc:creator>
  <cp:lastModifiedBy>Slava</cp:lastModifiedBy>
  <cp:revision>7</cp:revision>
  <dcterms:created xsi:type="dcterms:W3CDTF">2023-03-01T20:41:00Z</dcterms:created>
  <dcterms:modified xsi:type="dcterms:W3CDTF">2023-03-02T10:35:00Z</dcterms:modified>
</cp:coreProperties>
</file>