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pBdr/>
        <w:shd w:fill="FFFFFF" w:val="clear"/>
        <w:bidi w:val="0"/>
        <w:jc w:val="center"/>
        <w:rPr/>
      </w:pPr>
      <w:r>
        <w:rPr>
          <w:b/>
          <w:color w:val="000000"/>
        </w:rPr>
        <w:t>Исследование комплексообразования ароматических углеводородов с sp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 и sp-линкерами с </w:t>
      </w:r>
      <w:r>
        <w:rPr>
          <w:rFonts w:cs="arial;sans-serif" w:ascii="arial;sans-serif" w:hAnsi="arial;sans-serif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α</w:t>
      </w:r>
      <w:r>
        <w:rPr>
          <w:b/>
          <w:color w:val="000000"/>
        </w:rPr>
        <w:t xml:space="preserve">, </w:t>
      </w:r>
      <w:r>
        <w:rPr>
          <w:rFonts w:cs="arial;sans-serif" w:ascii="arial;sans-serif" w:hAnsi="arial;sans-serif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β</w:t>
      </w:r>
      <w:r>
        <w:rPr>
          <w:b/>
          <w:color w:val="000000"/>
        </w:rPr>
        <w:t>-циклодекстринами в растворах, гелях и кристалле.</w:t>
      </w:r>
    </w:p>
    <w:p>
      <w:pPr>
        <w:pStyle w:val="Normal"/>
        <w:pBdr/>
        <w:shd w:fill="FFFFFF" w:val="clear"/>
        <w:bidi w:val="0"/>
        <w:jc w:val="center"/>
        <w:rPr/>
      </w:pPr>
      <w:r>
        <w:rPr>
          <w:b/>
          <w:i/>
          <w:color w:val="000000"/>
        </w:rPr>
        <w:t>Новицкий Г.О.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Фейсханов М.Р.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Медведева А.А.</w:t>
      </w:r>
      <w:r>
        <w:rPr>
          <w:b/>
          <w:i/>
          <w:color w:val="000000"/>
          <w:vertAlign w:val="superscript"/>
        </w:rPr>
        <w:t xml:space="preserve">1 </w:t>
      </w:r>
      <w:r>
        <w:rPr>
          <w:b/>
          <w:i/>
          <w:color w:val="000000"/>
        </w:rPr>
        <w:t>, Ведерников А.И.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Лобова Н.А. </w:t>
      </w:r>
      <w:r>
        <w:rPr>
          <w:b/>
          <w:i/>
          <w:color w:val="000000"/>
          <w:vertAlign w:val="superscript"/>
        </w:rPr>
        <w:t>1,2</w:t>
      </w:r>
    </w:p>
    <w:p>
      <w:pPr>
        <w:pStyle w:val="Normal"/>
        <w:pBdr/>
        <w:shd w:fill="FFFFFF" w:val="clear"/>
        <w:bidi w:val="0"/>
        <w:jc w:val="center"/>
        <w:rPr>
          <w:i/>
          <w:i/>
          <w:color w:val="000000"/>
        </w:rPr>
      </w:pPr>
      <w:r>
        <w:rPr>
          <w:i/>
          <w:color w:val="000000"/>
        </w:rPr>
        <w:t>Аспирант, 2 год обучения</w:t>
      </w:r>
    </w:p>
    <w:p>
      <w:pPr>
        <w:pStyle w:val="Normal"/>
        <w:pBdr/>
        <w:shd w:fill="FFFFFF" w:val="clear"/>
        <w:bidi w:val="0"/>
        <w:jc w:val="center"/>
        <w:rPr/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ФНИЦ «Кристаллография и фотоника» РАН, Центр фотохимии РАН, Москва, Россия</w:t>
      </w:r>
    </w:p>
    <w:p>
      <w:pPr>
        <w:pStyle w:val="Normal"/>
        <w:pBdr/>
        <w:shd w:fill="FFFFFF" w:val="clear"/>
        <w:bidi w:val="0"/>
        <w:jc w:val="center"/>
        <w:rPr/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физико-технический институт (национальный исследовательский университет)</w:t>
      </w:r>
    </w:p>
    <w:p>
      <w:pPr>
        <w:pStyle w:val="Normal"/>
        <w:pBdr/>
        <w:shd w:fill="FFFFFF" w:val="clear"/>
        <w:bidi w:val="0"/>
        <w:jc w:val="center"/>
        <w:rPr>
          <w:i/>
          <w:i/>
          <w:color w:val="000000"/>
        </w:rPr>
      </w:pPr>
      <w:r>
        <w:rPr>
          <w:i/>
          <w:color w:val="000000"/>
        </w:rPr>
        <w:t xml:space="preserve">E-mail: georg.nov97@gmail.com </w:t>
      </w:r>
    </w:p>
    <w:p>
      <w:pPr>
        <w:pStyle w:val="Normal"/>
        <w:pBdr/>
        <w:shd w:fill="FFFFFF" w:val="clear"/>
        <w:bidi w:val="0"/>
        <w:jc w:val="center"/>
        <w:rPr/>
      </w:pPr>
      <w:r>
        <w:rPr/>
      </w:r>
    </w:p>
    <w:p>
      <w:pPr>
        <w:pStyle w:val="Normal"/>
        <w:pBdr/>
        <w:shd w:fill="FFFFFF" w:val="clear"/>
        <w:bidi w:val="0"/>
        <w:ind w:left="0" w:right="0" w:firstLine="397"/>
        <w:jc w:val="both"/>
        <w:rPr/>
      </w:pPr>
      <w:r>
        <w:rPr>
          <w:color w:val="000000"/>
        </w:rPr>
        <w:t xml:space="preserve">Известно, что условно-жёсткие молекулы, обладающие внутренней полостью — кавитанды - способны вмещать внутрь полости молекулу - «гостя», образуя комплекс включения (кавитат). При этом изменяется локальное микроокружение молекулы-«гостя», и кавитат начинает проявлять новые физико-химические свойства [1,2], отличные от свойств исходных молекул. </w:t>
      </w:r>
    </w:p>
    <w:p>
      <w:pPr>
        <w:pStyle w:val="Normal"/>
        <w:pBdr/>
        <w:shd w:fill="FFFFFF" w:val="clear"/>
        <w:bidi w:val="0"/>
        <w:ind w:left="0" w:right="0" w:firstLine="397"/>
        <w:jc w:val="both"/>
        <w:rPr>
          <w:color w:val="000000"/>
        </w:rPr>
      </w:pPr>
      <w:r>
        <w:rPr>
          <w:color w:val="000000"/>
        </w:rPr>
        <w:t xml:space="preserve">Комплексы включения ряда ароматических углеводородов (стильбен, толан, терфенил) были исследованы методами электронной спектроскопии в водных растворах, этаноле, биосовместимых силикатных гелях на основе THEOS и методом РСА в кристаллической фазе. </w:t>
      </w:r>
    </w:p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Style21"/>
              <w:bidi w:val="0"/>
              <w:snapToGrid w:val="false"/>
              <w:jc w:val="both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119380</wp:posOffset>
                  </wp:positionV>
                  <wp:extent cx="1932305" cy="1370330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13" t="-80" r="-113" b="494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7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  <w:tcBorders/>
          </w:tcPr>
          <w:p>
            <w:pPr>
              <w:pStyle w:val="Style21"/>
              <w:bidi w:val="0"/>
              <w:jc w:val="both"/>
              <w:rPr>
                <w:rFonts w:eastAsia="Liberation Serif;Times New Roman" w:cs="Liberation Serif;Times New Roman"/>
              </w:rPr>
            </w:pPr>
            <w:r>
              <w:drawing>
                <wp:anchor behindDoc="0" distT="0" distB="0" distL="114935" distR="114935" simplePos="0" locked="0" layoutInCell="1" allowOverlap="1" relativeHeight="3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37465</wp:posOffset>
                  </wp:positionV>
                  <wp:extent cx="1430020" cy="1461770"/>
                  <wp:effectExtent l="0" t="0" r="0" b="0"/>
                  <wp:wrapNone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02" t="-100" r="-102" b="-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46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Liberation Serif;Times New Roman" w:cs="Liberation Serif;Times New Roman"/>
              </w:rPr>
              <w:t xml:space="preserve"> </w:t>
            </w:r>
          </w:p>
          <w:p>
            <w:pPr>
              <w:pStyle w:val="Style21"/>
              <w:bidi w:val="0"/>
              <w:jc w:val="both"/>
              <w:rPr/>
            </w:pPr>
            <w:r>
              <w:rPr/>
            </w:r>
          </w:p>
          <w:p>
            <w:pPr>
              <w:pStyle w:val="Style21"/>
              <w:bidi w:val="0"/>
              <w:jc w:val="both"/>
              <w:rPr/>
            </w:pPr>
            <w:r>
              <w:rPr/>
            </w:r>
          </w:p>
          <w:p>
            <w:pPr>
              <w:pStyle w:val="Style21"/>
              <w:bidi w:val="0"/>
              <w:jc w:val="both"/>
              <w:rPr/>
            </w:pPr>
            <w:r>
              <w:rPr/>
            </w:r>
          </w:p>
          <w:p>
            <w:pPr>
              <w:pStyle w:val="Style21"/>
              <w:bidi w:val="0"/>
              <w:jc w:val="both"/>
              <w:rPr/>
            </w:pPr>
            <w:r>
              <w:rPr/>
            </w:r>
          </w:p>
          <w:p>
            <w:pPr>
              <w:pStyle w:val="Style21"/>
              <w:bidi w:val="0"/>
              <w:jc w:val="both"/>
              <w:rPr/>
            </w:pPr>
            <w:r>
              <w:rPr/>
            </w:r>
          </w:p>
          <w:p>
            <w:pPr>
              <w:pStyle w:val="Style21"/>
              <w:bidi w:val="0"/>
              <w:jc w:val="both"/>
              <w:rPr/>
            </w:pPr>
            <w:r>
              <w:rPr/>
            </w:r>
          </w:p>
          <w:p>
            <w:pPr>
              <w:pStyle w:val="Style21"/>
              <w:bidi w:val="0"/>
              <w:jc w:val="both"/>
              <w:rPr/>
            </w:pPr>
            <w:r>
              <w:rPr/>
            </w:r>
          </w:p>
          <w:p>
            <w:pPr>
              <w:pStyle w:val="Style21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Style21"/>
              <w:bidi w:val="0"/>
              <w:snapToGrid w:val="false"/>
              <w:jc w:val="left"/>
              <w:rPr/>
            </w:pPr>
            <w:r>
              <w:rPr/>
              <w:t>Рисунок 1 (а). Структуры исследованных ароматических углеводородов с sp</w:t>
            </w:r>
            <w:r>
              <w:rPr>
                <w:vertAlign w:val="superscript"/>
              </w:rPr>
              <w:t>2</w:t>
            </w:r>
            <w:r>
              <w:rPr/>
              <w:t xml:space="preserve"> и sp- линкерами </w:t>
            </w:r>
          </w:p>
        </w:tc>
        <w:tc>
          <w:tcPr>
            <w:tcW w:w="4819" w:type="dxa"/>
            <w:tcBorders/>
          </w:tcPr>
          <w:p>
            <w:pPr>
              <w:pStyle w:val="Style21"/>
              <w:bidi w:val="0"/>
              <w:snapToGrid w:val="false"/>
              <w:jc w:val="left"/>
              <w:rPr/>
            </w:pPr>
            <w:r>
              <w:rPr/>
              <w:t>Рисунок 1 (б). Структура комплекса толан@</w:t>
            </w:r>
            <w:r>
              <w:rPr>
                <w:rFonts w:cs="arial;sans-serif" w:ascii="arial;sans-serif" w:hAnsi="aria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α</w:t>
            </w:r>
            <w:r>
              <w:rPr/>
              <w:t>-циклодекстрин полученная методом  РСА</w:t>
            </w:r>
          </w:p>
        </w:tc>
      </w:tr>
    </w:tbl>
    <w:p>
      <w:pPr>
        <w:pStyle w:val="Normal"/>
        <w:pBdr/>
        <w:shd w:fill="FFFFFF" w:val="clear"/>
        <w:bidi w:val="0"/>
        <w:ind w:left="0" w:right="0" w:firstLine="397"/>
        <w:jc w:val="both"/>
        <w:rPr/>
      </w:pPr>
      <w:r>
        <w:rPr/>
      </w:r>
    </w:p>
    <w:p>
      <w:pPr>
        <w:pStyle w:val="Normal"/>
        <w:pBdr/>
        <w:shd w:fill="FFFFFF" w:val="clear"/>
        <w:bidi w:val="0"/>
        <w:ind w:left="0" w:right="0" w:firstLine="397"/>
        <w:jc w:val="both"/>
        <w:rPr/>
      </w:pPr>
      <w:r>
        <w:rPr/>
        <w:t>Методами флуоресцентного и спектрофотометрического титрования была оценена константа устойчивости комплексов толан@</w:t>
      </w: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α</w:t>
      </w:r>
      <w:r>
        <w:rPr/>
        <w:t>-циклодекстрин в метаноле, толан@(</w:t>
      </w: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α</w:t>
      </w:r>
      <w:r>
        <w:rPr/>
        <w:t>/</w:t>
      </w: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β/γ</w:t>
      </w:r>
      <w:r>
        <w:rPr/>
        <w:t xml:space="preserve">)-циклодекстрин в смеси этанол-вода. </w:t>
      </w:r>
    </w:p>
    <w:p>
      <w:pPr>
        <w:pStyle w:val="Normal"/>
        <w:pBdr/>
        <w:shd w:fill="FFFFFF" w:val="clear"/>
        <w:bidi w:val="0"/>
        <w:ind w:left="0" w:right="0" w:firstLine="397"/>
        <w:jc w:val="both"/>
        <w:rPr/>
      </w:pPr>
      <w:r>
        <w:rPr/>
        <w:t>Проведённые исследования показали, что комплексы включения ароматический углеводород@(</w:t>
      </w: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α</w:t>
      </w:r>
      <w:r>
        <w:rPr/>
        <w:t>/</w:t>
      </w:r>
      <w:r>
        <w:rPr>
          <w:rFonts w:cs="arial;sans-serif"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β</w:t>
      </w:r>
      <w:r>
        <w:rPr/>
        <w:t>)-циклодекстрин стехиометрического состава 1:1 сохраняют свою структуру в органической упорядоченной (кристалл) и неупорядоченной (гель) фазе. Полученные результаты могут быть использованы для создания новых люминесцентных материалов.</w:t>
      </w:r>
    </w:p>
    <w:p>
      <w:pPr>
        <w:pStyle w:val="Normal"/>
        <w:pBdr/>
        <w:shd w:fill="FFFFFF" w:val="clear"/>
        <w:bidi w:val="0"/>
        <w:ind w:left="0" w:right="0" w:firstLine="397"/>
        <w:jc w:val="both"/>
        <w:rPr/>
      </w:pPr>
      <w:r>
        <w:rPr/>
      </w:r>
    </w:p>
    <w:p>
      <w:pPr>
        <w:pStyle w:val="Normal"/>
        <w:pBdr/>
        <w:shd w:fill="FFFFFF" w:val="clear"/>
        <w:bidi w:val="0"/>
        <w:jc w:val="center"/>
        <w:rPr>
          <w:b/>
          <w:b/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Normal"/>
        <w:pBdr/>
        <w:shd w:fill="FFFFFF" w:val="clear"/>
        <w:bidi w:val="0"/>
        <w:jc w:val="both"/>
        <w:rPr>
          <w:lang w:val="en-US"/>
        </w:rPr>
      </w:pPr>
      <w:r>
        <w:rPr>
          <w:lang w:val="en-US"/>
        </w:rPr>
        <w:t>1. Cyclodextrin Cavity Size Effect on the Complexation and Rotational Dynamics of the Laser Dye 2,5-Diphenyl-1,3,4-oxadiazole: From Singly Occupied Complexes to Their Nanotubular Self-Assemblies. J. Phys. Chem. B 2006, 110, 16428-16438.</w:t>
      </w:r>
    </w:p>
    <w:p>
      <w:pPr>
        <w:pStyle w:val="Normal"/>
        <w:pBdr/>
        <w:shd w:fill="FFFFFF" w:val="clear"/>
        <w:bidi w:val="0"/>
        <w:jc w:val="both"/>
        <w:rPr>
          <w:lang w:val="en-US"/>
        </w:rPr>
      </w:pPr>
      <w:r>
        <w:rPr>
          <w:lang w:val="en-US"/>
        </w:rPr>
        <w:t>2. DAST Optical Damage Tolerance Enhancement and Robust Lasing via Supramolecular Strategy. ACS Photonics 2020 7 (8), 2132-2138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altName w:val="sans-serif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iberation Serif;Times New Roman"/>
      <w:color w:val="auto"/>
      <w:kern w:val="2"/>
      <w:sz w:val="22"/>
      <w:szCs w:val="22"/>
      <w:lang w:val="en-US" w:eastAsia="en-US" w:bidi="en-US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LibreOffice/6.4.7.2$Linux_X86_64 LibreOffice_project/40$Build-2</Application>
  <Pages>1</Pages>
  <Words>238</Words>
  <Characters>1855</Characters>
  <CharactersWithSpaces>2086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2023-02-16T14:52:32Z</dcterms:created>
  <dc:creator/>
  <dc:description/>
  <dc:language>ru-RU</dc:language>
  <cp:lastModifiedBy/>
  <dcterms:modified xsi:type="dcterms:W3CDTF">2023-02-16T19:08:45Z</dcterms:modified>
  <cp:revision>4</cp:revision>
  <dc:subject/>
  <dc:title/>
</cp:coreProperties>
</file>