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7"/>
        <w:jc w:val="center"/>
        <w:shd w:val="clear" w:color="auto" w:fill="ffffff"/>
        <w:rPr>
          <w:b/>
          <w:color w:val="000000"/>
          <w:highlight w:val="yellow"/>
        </w:rPr>
      </w:pPr>
      <w:r>
        <w:rPr>
          <w:b/>
          <w:color w:val="000000"/>
          <w:highlight w:val="none"/>
        </w:rPr>
        <w:t xml:space="preserve">Теоретическая модель строения и свойств матрично-изолированной молекулы BaF</w:t>
      </w:r>
      <w:r>
        <w:rPr>
          <w:b/>
          <w:color w:val="000000"/>
          <w:highlight w:val="yellow"/>
        </w:rPr>
      </w:r>
      <w:r/>
    </w:p>
    <w:p>
      <w:pPr>
        <w:pStyle w:val="607"/>
        <w:jc w:val="center"/>
        <w:shd w:val="clear" w:color="auto" w:fill="ffffff"/>
        <w:rPr>
          <w:color w:val="000000"/>
        </w:rPr>
      </w:pPr>
      <w:r>
        <w:rPr>
          <w:b/>
          <w:i/>
          <w:color w:val="000000"/>
        </w:rPr>
        <w:t xml:space="preserve">Тупицын Д.И.,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  <w:position w:val="0"/>
          <w:sz w:val="24"/>
          <w:vertAlign w:val="baseline"/>
        </w:rPr>
        <w:t xml:space="preserve">Каморзин Б.Б.</w:t>
      </w:r>
      <w:r>
        <w:rPr>
          <w:b/>
          <w:i/>
          <w:color w:val="000000"/>
          <w:vertAlign w:val="superscript"/>
        </w:rPr>
        <w:t xml:space="preserve">2</w:t>
      </w:r>
      <w:r/>
    </w:p>
    <w:p>
      <w:pPr>
        <w:pStyle w:val="607"/>
        <w:jc w:val="center"/>
        <w:shd w:val="clear" w:color="auto" w:fill="ffffff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  <w:r/>
    </w:p>
    <w:p>
      <w:pPr>
        <w:pStyle w:val="607"/>
        <w:jc w:val="center"/>
        <w:shd w:val="clear" w:color="auto" w:fill="ffffff"/>
        <w:rPr>
          <w:color w:val="000000"/>
        </w:rPr>
      </w:pPr>
      <w:r>
        <w:rPr>
          <w:i/>
          <w:color w:val="000000"/>
          <w:vertAlign w:val="superscript"/>
        </w:rPr>
        <w:t xml:space="preserve">1</w:t>
      </w:r>
      <w:r>
        <w:rPr>
          <w:i/>
          <w:color w:val="000000"/>
        </w:rPr>
        <w:t xml:space="preserve">Московский государственный университет имени М.В. Ломоносова, химический факультет, Москва, Россия</w:t>
      </w:r>
      <w:r/>
    </w:p>
    <w:p>
      <w:pPr>
        <w:pStyle w:val="607"/>
        <w:jc w:val="center"/>
        <w:shd w:val="clear" w:color="auto" w:fill="ffffff"/>
        <w:rPr>
          <w:highlight w:val="none"/>
          <w:shd w:val="clear" w:color="auto" w:fill="auto"/>
        </w:rPr>
      </w:pPr>
      <w:r>
        <w:rPr>
          <w:i/>
          <w:color w:val="000000"/>
          <w:shd w:val="clear" w:color="auto" w:fill="auto"/>
          <w:vertAlign w:val="superscript"/>
        </w:rPr>
        <w:t xml:space="preserve">2</w:t>
      </w:r>
      <w:r>
        <w:rPr>
          <w:i/>
          <w:color w:val="000000"/>
          <w:shd w:val="clear" w:color="auto" w:fill="auto"/>
        </w:rPr>
        <w:t xml:space="preserve">Сколковский институт науки и технологий, Центр энергетических технологий, Москва, Россия</w:t>
      </w:r>
      <w:r/>
    </w:p>
    <w:p>
      <w:pPr>
        <w:pStyle w:val="607"/>
        <w:jc w:val="center"/>
        <w:shd w:val="clear" w:color="auto" w:fill="ffffff"/>
        <w:rPr>
          <w:color w:val="000000"/>
        </w:rPr>
      </w:pPr>
      <w:r>
        <w:rPr>
          <w:i/>
          <w:color w:val="000000"/>
        </w:rPr>
        <w:t xml:space="preserve">E-mail: </w:t>
      </w:r>
      <w:hyperlink r:id="rId10" w:tooltip="mailto:dmitrii.tupitsyn@chemistry.msu.ru" w:history="1">
        <w:r>
          <w:rPr>
            <w:rStyle w:val="617"/>
            <w:i/>
            <w:color w:val="000000"/>
          </w:rPr>
          <w:t xml:space="preserve">dmitrii.tupitsyn@chemistry.msu.ru</w:t>
        </w:r>
      </w:hyperlink>
      <w:r/>
      <w:r/>
    </w:p>
    <w:p>
      <w:pPr>
        <w:pStyle w:val="607"/>
        <w:ind w:firstLine="397"/>
        <w:jc w:val="both"/>
        <w:shd w:val="clear" w:color="ffffff" w:themeColor="background1" w:fill="ffffff" w:themeFill="background1"/>
      </w:pPr>
      <w:r>
        <w:t xml:space="preserve">Измерение дипольного момента электрона (EDM) — одна из </w:t>
      </w:r>
      <w:r>
        <w:t xml:space="preserve">наиболее интересных</w:t>
      </w:r>
      <w:r>
        <w:t xml:space="preserve"> задач современной экспериментальной физики, </w:t>
      </w:r>
      <w:r>
        <w:t xml:space="preserve">решение которой может </w:t>
      </w:r>
      <w:r>
        <w:t xml:space="preserve">дать ответ на вопрос</w:t>
      </w:r>
      <w:r>
        <w:t xml:space="preserve">ы границ применимости Стандартной модели, а также</w:t>
      </w:r>
      <w:r>
        <w:t xml:space="preserve"> неравномерного распределения материи и антиматерии во вселенной. </w:t>
      </w:r>
      <w:r/>
      <w:r>
        <w:t xml:space="preserve">Сразу несколькими научными группами было независимо предложено провести прецизионный эксперимент, основанный на использовании техники матричной изоляции</w:t>
      </w:r>
      <w:r>
        <w:t xml:space="preserve"> радикала BaF [1, 2]. В рамках такого подхода возможно добиться существенного увеличения чувствительности измерения за счёт наличия большого числа частиц и их ориентации вдоль одного направления, что недостижимо в рамках классических экспериментов в пучках. И</w:t>
      </w:r>
      <w:r>
        <w:t xml:space="preserve">сходн</w:t>
      </w:r>
      <w:r>
        <w:t xml:space="preserve">ая</w:t>
      </w:r>
      <w:r>
        <w:t xml:space="preserve"> </w:t>
      </w:r>
      <w:r>
        <w:t xml:space="preserve">матричная </w:t>
      </w:r>
      <w:r>
        <w:t xml:space="preserve">систем</w:t>
      </w:r>
      <w:r>
        <w:t xml:space="preserve">а</w:t>
      </w:r>
      <w:r>
        <w:t xml:space="preserve"> перевод</w:t>
      </w:r>
      <w:r>
        <w:t xml:space="preserve">ится</w:t>
      </w:r>
      <w:r>
        <w:t xml:space="preserve"> в когерентное состояние, </w:t>
      </w:r>
      <w:r>
        <w:t xml:space="preserve">в котором</w:t>
      </w:r>
      <w:r>
        <w:t xml:space="preserve"> </w:t>
      </w:r>
      <w:r>
        <w:t xml:space="preserve">наблюдается </w:t>
      </w:r>
      <w:r>
        <w:t xml:space="preserve">прецесси</w:t>
      </w:r>
      <w:r>
        <w:t xml:space="preserve">я спинов электронов</w:t>
      </w:r>
      <w:r>
        <w:t xml:space="preserve"> относительно направления внешнего магнитного поля. </w:t>
      </w:r>
      <w:r>
        <w:t xml:space="preserve">В случае отличия</w:t>
      </w:r>
      <w:r>
        <w:t xml:space="preserve"> электрическ</w:t>
      </w:r>
      <w:r>
        <w:t xml:space="preserve">ого</w:t>
      </w:r>
      <w:r>
        <w:t xml:space="preserve"> дипольн</w:t>
      </w:r>
      <w:r>
        <w:t xml:space="preserve">ого</w:t>
      </w:r>
      <w:r>
        <w:t xml:space="preserve"> момент</w:t>
      </w:r>
      <w:r>
        <w:t xml:space="preserve">а</w:t>
      </w:r>
      <w:r>
        <w:t xml:space="preserve"> электрона от нуля, будет наблюдаться взаимодействие с электрическим полем направленным коллинеарно с направлением магнитного поля. </w:t>
      </w:r>
      <w:r>
        <w:t xml:space="preserve">Регистрация отклика измеряется при помощи </w:t>
      </w:r>
      <w:r>
        <w:t xml:space="preserve">ЭПР спектроскопии.</w:t>
      </w:r>
      <w:r/>
      <w:r/>
    </w:p>
    <w:p>
      <w:pPr>
        <w:pStyle w:val="607"/>
        <w:ind w:firstLine="397"/>
        <w:jc w:val="both"/>
        <w:shd w:val="clear" w:color="ffffff" w:themeColor="background1" w:fill="ffffff" w:themeFill="background1"/>
        <w:rPr>
          <w:highlight w:val="none"/>
        </w:rPr>
      </w:pPr>
      <w:r>
        <w:t xml:space="preserve">Для оценки параметров экспери</w:t>
      </w:r>
      <w:r>
        <w:t xml:space="preserve">мента в данной работе использовалась техника моделирования матричной изоляции разработанная ранее и успешно показавшая себя на задачах атомной матричной изоляции [3]. Данная техника основана на представлении матрицы сферическим фрагментом иде</w:t>
      </w:r>
      <w:r>
        <w:t xml:space="preserve">ального кристалла и использовании метода выпуклых оболочек для оценки термодинамической стабильности сайтов захвата. Поверхности потенциальной энергии основного и возбуждённых состояний рассчитываются методами, основанными на применении парных потенциалов.</w:t>
      </w:r>
      <w:r/>
    </w:p>
    <w:p>
      <w:pPr>
        <w:ind w:firstLine="397"/>
        <w:jc w:val="both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  <w:t xml:space="preserve">Рассчитанные неэмпирически двумерные поверхности потенциальной энергии аппроксимировались комбинацией мультипольного разложения с использованием полиномов Лежандра на дальних расстояниях с экспоненциальным и сплайновым представлениями в области коротких расстояний. Далее генерировались начальные геометрии кристалла, соответствующие удалению 0-8 атомов инертного газа, а также различным углам поворота молекулы в матрице. Полученные геометрии оптимизировались градиентными методами. Влияние электрического поля на систему учитывалось в нулевом приближении без учёта поляризации матрицы и электростатических взаимодействий внутри системы.</w:t>
      </w:r>
      <w:r>
        <w:rPr>
          <w:highlight w:val="none"/>
        </w:rPr>
      </w:r>
    </w:p>
    <w:p>
      <w:pPr>
        <w:ind w:firstLine="397"/>
        <w:jc w:val="both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t xml:space="preserve">Проведён анализ стабильности сайтов захвата молекулы BaF</w:t>
      </w:r>
      <w:r>
        <w:t xml:space="preserve"> в матрице аргона. Показано, что наиболее стабильной является вакансия, образованная удалением четырёх атомов из решётки. Рассмотрена вариация стабильности начальных конфигураций при ненулевых внешних электрических полях. Для стабильных вакансий оценены </w:t>
      </w:r>
      <w:r>
        <w:t xml:space="preserve">характеристики кинетической стабильности и величин электрического поля, </w:t>
      </w:r>
      <w:r>
        <w:t xml:space="preserve">необходимых для выравнивания молекул относительно направления наведённого поля.</w:t>
      </w:r>
      <w:r>
        <w:rPr>
          <w:highlight w:val="none"/>
        </w:rPr>
      </w:r>
      <w:r/>
    </w:p>
    <w:p>
      <w:pPr>
        <w:pStyle w:val="607"/>
        <w:ind w:firstLine="397"/>
        <w:jc w:val="both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607"/>
        <w:jc w:val="center"/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Литература</w:t>
      </w:r>
      <w:r/>
    </w:p>
    <w:p>
      <w:pPr>
        <w:pStyle w:val="607"/>
        <w:jc w:val="center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ind w:left="0" w:firstLine="0"/>
        <w:jc w:val="both"/>
        <w:shd w:val="clear" w:color="auto" w:fill="ffffff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 xml:space="preserve">1. </w:t>
      </w:r>
      <w:r>
        <w:rPr>
          <w:color w:val="000000"/>
          <w:highlight w:val="none"/>
          <w:lang w:val="en-US"/>
        </w:rPr>
        <w:t xml:space="preserve">Kozlov, M.G.; Derevianko, A. //  Phys. Rev. Lett. 2006, 97, 063001.</w:t>
      </w:r>
      <w:r>
        <w:rPr>
          <w:color w:val="000000"/>
          <w:highlight w:val="none"/>
          <w:lang w:val="en-US"/>
        </w:rPr>
      </w:r>
      <w:r>
        <w:rPr>
          <w:color w:val="000000"/>
          <w:lang w:val="en-US"/>
        </w:rPr>
      </w:r>
    </w:p>
    <w:p>
      <w:pPr>
        <w:ind w:left="0" w:firstLine="0"/>
        <w:jc w:val="both"/>
        <w:shd w:val="clear" w:color="auto" w:fill="ffffff"/>
        <w:rPr>
          <w:color w:val="000000"/>
          <w:lang w:val="en-US"/>
        </w:rPr>
      </w:pPr>
      <w:r>
        <w:rPr>
          <w:color w:val="000000"/>
          <w:highlight w:val="none"/>
          <w:lang w:val="en-US"/>
        </w:rPr>
      </w:r>
      <w:r>
        <w:rPr>
          <w:color w:val="000000"/>
          <w:lang w:val="en-US"/>
        </w:rPr>
        <w:t xml:space="preserve">2. Vutha A.C., Horbatsch M., Hessels E.A. // Atoms. – 2018. – Т. 6. – №. 1. – С. 3.</w:t>
      </w:r>
      <w:r>
        <w:rPr>
          <w:color w:val="000000"/>
          <w:lang w:val="en-US"/>
        </w:rPr>
      </w:r>
    </w:p>
    <w:p>
      <w:pPr>
        <w:ind w:left="0" w:firstLine="0"/>
        <w:jc w:val="both"/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Tarakanova A.S., Buchachenko A.A.,  Bezrukov D.S. // Low Temperature Physics 46, 165 (2020).</w:t>
      </w:r>
      <w:r>
        <w:rPr>
          <w:color w:val="000000"/>
          <w:lang w:val="en-US"/>
        </w:rPr>
      </w:r>
      <w:r/>
    </w:p>
    <w:sectPr>
      <w:footnotePr/>
      <w:endnotePr/>
      <w:type w:val="nextPage"/>
      <w:pgSz w:w="11906" w:h="16838" w:orient="portrait"/>
      <w:pgMar w:top="1134" w:right="1361" w:bottom="1134" w:left="136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20502060505020204"/>
  </w:font>
  <w:font w:name="Noto Sans">
    <w:panose1 w:val="020B0502040504020204"/>
  </w:font>
  <w:font w:name="Noto Sans Devanagari">
    <w:panose1 w:val="020B05020405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4"/>
    <w:link w:val="6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4"/>
    <w:link w:val="6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4"/>
    <w:link w:val="6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4"/>
    <w:link w:val="61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14"/>
    <w:link w:val="624"/>
    <w:uiPriority w:val="10"/>
    <w:rPr>
      <w:sz w:val="48"/>
      <w:szCs w:val="48"/>
    </w:rPr>
  </w:style>
  <w:style w:type="character" w:styleId="37">
    <w:name w:val="Subtitle Char"/>
    <w:basedOn w:val="614"/>
    <w:link w:val="625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4"/>
    <w:link w:val="42"/>
    <w:uiPriority w:val="99"/>
  </w:style>
  <w:style w:type="paragraph" w:styleId="44">
    <w:name w:val="Footer"/>
    <w:basedOn w:val="60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4"/>
    <w:link w:val="44"/>
    <w:uiPriority w:val="99"/>
  </w:style>
  <w:style w:type="character" w:styleId="47">
    <w:name w:val="Caption Char"/>
    <w:basedOn w:val="622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4"/>
    <w:uiPriority w:val="99"/>
    <w:unhideWhenUsed/>
    <w:rPr>
      <w:vertAlign w:val="superscript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08">
    <w:name w:val="Heading 1"/>
    <w:basedOn w:val="607"/>
    <w:next w:val="607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09">
    <w:name w:val="Heading 2"/>
    <w:basedOn w:val="607"/>
    <w:next w:val="607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10">
    <w:name w:val="Heading 3"/>
    <w:basedOn w:val="607"/>
    <w:next w:val="60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1">
    <w:name w:val="Heading 4"/>
    <w:basedOn w:val="607"/>
    <w:next w:val="607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612">
    <w:name w:val="Heading 5"/>
    <w:basedOn w:val="607"/>
    <w:next w:val="607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13">
    <w:name w:val="Heading 6"/>
    <w:basedOn w:val="607"/>
    <w:next w:val="60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4" w:default="1">
    <w:name w:val="Default Paragraph Font"/>
    <w:uiPriority w:val="1"/>
    <w:semiHidden/>
    <w:unhideWhenUsed/>
    <w:qFormat/>
  </w:style>
  <w:style w:type="character" w:styleId="615" w:customStyle="1">
    <w:name w:val="Абзац списка Знак"/>
    <w:basedOn w:val="614"/>
    <w:link w:val="626"/>
    <w:uiPriority w:val="34"/>
    <w:qFormat/>
  </w:style>
  <w:style w:type="character" w:styleId="616">
    <w:name w:val="Placeholder Text"/>
    <w:basedOn w:val="614"/>
    <w:uiPriority w:val="99"/>
    <w:semiHidden/>
    <w:qFormat/>
    <w:rPr>
      <w:color w:val="808080"/>
    </w:rPr>
  </w:style>
  <w:style w:type="character" w:styleId="617">
    <w:name w:val="Hyperlink"/>
    <w:basedOn w:val="614"/>
    <w:uiPriority w:val="99"/>
    <w:unhideWhenUsed/>
    <w:rPr>
      <w:color w:val="0000ff" w:themeColor="hyperlink"/>
      <w:u w:val="single"/>
    </w:rPr>
  </w:style>
  <w:style w:type="character" w:styleId="618">
    <w:name w:val="Unresolved Mention"/>
    <w:basedOn w:val="614"/>
    <w:uiPriority w:val="99"/>
    <w:semiHidden/>
    <w:unhideWhenUsed/>
    <w:qFormat/>
    <w:rPr>
      <w:color w:val="605e5c"/>
      <w:shd w:val="clear" w:color="auto" w:fill="e1dfdd"/>
    </w:rPr>
  </w:style>
  <w:style w:type="paragraph" w:styleId="619">
    <w:name w:val="Heading"/>
    <w:basedOn w:val="607"/>
    <w:next w:val="620"/>
    <w:qFormat/>
    <w:pPr>
      <w:keepNext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620">
    <w:name w:val="Body Text"/>
    <w:basedOn w:val="607"/>
    <w:pPr>
      <w:spacing w:before="0" w:after="140" w:line="276" w:lineRule="auto"/>
    </w:pPr>
  </w:style>
  <w:style w:type="paragraph" w:styleId="621">
    <w:name w:val="List"/>
    <w:basedOn w:val="620"/>
    <w:rPr>
      <w:rFonts w:cs="Noto Sans Devanagari"/>
    </w:rPr>
  </w:style>
  <w:style w:type="paragraph" w:styleId="622">
    <w:name w:val="Caption"/>
    <w:basedOn w:val="60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23">
    <w:name w:val="Index"/>
    <w:basedOn w:val="607"/>
    <w:qFormat/>
    <w:pPr>
      <w:suppressLineNumbers/>
    </w:pPr>
    <w:rPr>
      <w:rFonts w:cs="Noto Sans Devanagari"/>
    </w:rPr>
  </w:style>
  <w:style w:type="paragraph" w:styleId="624">
    <w:name w:val="Title"/>
    <w:basedOn w:val="607"/>
    <w:next w:val="60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625">
    <w:name w:val="Subtitle"/>
    <w:basedOn w:val="607"/>
    <w:next w:val="607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626">
    <w:name w:val="List Paragraph"/>
    <w:basedOn w:val="607"/>
    <w:link w:val="615"/>
    <w:uiPriority w:val="34"/>
    <w:qFormat/>
    <w:pPr>
      <w:contextualSpacing/>
      <w:ind w:left="720" w:firstLine="0"/>
      <w:spacing w:before="0" w:after="0"/>
    </w:pPr>
  </w:style>
  <w:style w:type="paragraph" w:styleId="62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en-US" w:eastAsia="en-US" w:bidi="en-US"/>
    </w:rPr>
  </w:style>
  <w:style w:type="paragraph" w:styleId="628">
    <w:name w:val="Table Contents"/>
    <w:basedOn w:val="607"/>
    <w:qFormat/>
    <w:pPr>
      <w:widowControl w:val="off"/>
      <w:suppressLineNumbers/>
    </w:pPr>
  </w:style>
  <w:style w:type="paragraph" w:styleId="629">
    <w:name w:val="Table Heading"/>
    <w:basedOn w:val="628"/>
    <w:qFormat/>
    <w:pPr>
      <w:jc w:val="center"/>
      <w:suppressLineNumbers/>
    </w:pPr>
    <w:rPr>
      <w:b/>
      <w:bCs/>
    </w:rPr>
  </w:style>
  <w:style w:type="numbering" w:styleId="630" w:default="1">
    <w:name w:val="No List"/>
    <w:uiPriority w:val="99"/>
    <w:semiHidden/>
    <w:unhideWhenUsed/>
    <w:qFormat/>
  </w:style>
  <w:style w:type="table" w:styleId="63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mitrii.tupitsyn@chemistry.ms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Lomonosov MSU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9</cp:revision>
  <dcterms:created xsi:type="dcterms:W3CDTF">2022-11-07T09:18:00Z</dcterms:created>
  <dcterms:modified xsi:type="dcterms:W3CDTF">2023-02-17T17:33:51Z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