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Модификация метода МКССП для м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оделировани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 xml:space="preserve"> электронных 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состояний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в присутствии сильных магнитных полей</w:t>
      </w:r>
    </w:p>
    <w:p>
      <w:pPr>
        <w:pStyle w:val="Normal"/>
        <w:shd w:fill="FFFFFF" w:val="clear"/>
        <w:bidi w:val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val="ru-RU"/>
        </w:rPr>
        <w:t>Бодунов А.А.,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vertAlign w:val="superscript"/>
          <w:lang w:val="ru-RU"/>
        </w:rPr>
        <w:t>1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lang w:val="ru-RU"/>
        </w:rPr>
        <w:t xml:space="preserve"> Озеров Г.К.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vertAlign w:val="superscript"/>
          <w:lang w:val="ru-RU"/>
        </w:rPr>
        <w:t>2</w:t>
      </w:r>
    </w:p>
    <w:p>
      <w:pPr>
        <w:pStyle w:val="Normal"/>
        <w:shd w:fill="FFFFFF" w:val="clear"/>
        <w:bidi w:val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 xml:space="preserve">Аспирант,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2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 xml:space="preserve"> года обучения</w:t>
      </w:r>
    </w:p>
    <w:p>
      <w:pPr>
        <w:pStyle w:val="Normal"/>
        <w:shd w:fill="FFFFFF" w:val="clear"/>
        <w:bidi w:val="0"/>
        <w:jc w:val="center"/>
        <w:rPr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vertAlign w:val="superscript"/>
          <w:lang w:val="ru-RU"/>
        </w:rPr>
        <w:t>1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Московский государственный университет имени М.В.Ломоносова,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>химический факультет, Москва, Россия</w:t>
      </w:r>
    </w:p>
    <w:p>
      <w:pPr>
        <w:pStyle w:val="Normal"/>
        <w:shd w:fill="FFFFFF" w:val="clear"/>
        <w:bidi w:val="0"/>
        <w:jc w:val="center"/>
        <w:rPr/>
      </w:pPr>
      <w:r>
        <w:rPr>
          <w:rStyle w:val="InternetLink"/>
          <w:rFonts w:eastAsia="Times New Roman" w:cs="Times New Roman" w:ascii="Times New Roman" w:hAnsi="Times New Roman"/>
          <w:i/>
          <w:color w:val="000000"/>
          <w:sz w:val="24"/>
          <w:szCs w:val="24"/>
          <w:u w:val="none"/>
          <w:vertAlign w:val="superscript"/>
          <w:lang w:val="ru-RU"/>
        </w:rPr>
        <w:t>2</w:t>
      </w:r>
      <w:r>
        <w:rPr>
          <w:rStyle w:val="InternetLink"/>
          <w:rFonts w:eastAsia="Times New Roman" w:cs="Times New Roman" w:ascii="Times New Roman" w:hAnsi="Times New Roman"/>
          <w:i/>
          <w:color w:val="000000"/>
          <w:sz w:val="24"/>
          <w:szCs w:val="24"/>
          <w:u w:val="none"/>
          <w:lang w:val="ru-RU"/>
        </w:rPr>
        <w:t>Сколковский институт науки и технологий, Москва, Россия</w:t>
      </w:r>
    </w:p>
    <w:p>
      <w:pPr>
        <w:pStyle w:val="Normal"/>
        <w:shd w:fill="FFFFFF" w:val="clear"/>
        <w:bidi w:val="0"/>
        <w:jc w:val="center"/>
        <w:rPr/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  <w:lang w:val="ru-RU"/>
        </w:rPr>
        <w:t xml:space="preserve">E–mail: </w:t>
      </w:r>
      <w:hyperlink r:id="rId2">
        <w:r>
          <w:rPr>
            <w:rStyle w:val="InternetLink"/>
            <w:rFonts w:eastAsia="Times New Roman" w:cs="Times New Roman" w:ascii="Times New Roman" w:hAnsi="Times New Roman"/>
            <w:i/>
            <w:sz w:val="24"/>
            <w:szCs w:val="24"/>
            <w:lang w:val="ru-RU"/>
          </w:rPr>
          <w:t>artembodunov@mail.ru</w:t>
        </w:r>
      </w:hyperlink>
    </w:p>
    <w:p>
      <w:pPr>
        <w:pStyle w:val="Normal"/>
        <w:shd w:fill="FFFFFF" w:val="clear"/>
        <w:bidi w:val="0"/>
        <w:ind w:start="0" w:end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динственным способом исследования звезд и других астрофизических объектов, их строения и протекающих 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утри них процессов является изучение их спектров.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Интересными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примерами таких небесных  тел являются звезды “белые карлики”. Для понимания устройства жизненного цикла звезд важно изучение их химического состава на разных этапах развития.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В литературе приведен качественны анализ химического состава белых карликов [1]. Сообщается, что в их составе помимо легких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водорода и гелия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также содержится ряд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элементов второго периода [2].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Лабораторный вариант получения похожих спектров на данный момент представляется невозможным, поскольку в данных астрофизических системах на атомы действуют очень сильные магнитные поля, которые  не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возможно получить в лаборатории на современном уровне развития науки.</w:t>
      </w:r>
    </w:p>
    <w:p>
      <w:pPr>
        <w:pStyle w:val="Normal"/>
        <w:shd w:fill="FFFFFF" w:val="clear"/>
        <w:bidi w:val="0"/>
        <w:ind w:start="0" w:end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анн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работ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продолжает исследование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моделировани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электронных структуры атомов второго периода в сильных магнитных полях.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Наиболее точным на сегодняшний день подходом является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способ, разработанный в группе проф. Стопкович.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Данный метод модифицирует стандартные алгоритмы квантовой химии путем введения в одночастичную часть электронного гамильтониана вклады, явно зависящие от спина и орбитального момента электрона.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Таим образом матрицы, с которыми приходится работать уже явно являются не просто самосопряженными, но также комплексными, а спинорбитали для электронов с разным значением спина уже не могут иметь одинаковые пространственные части. Все это значительно замедляет скорость расчета.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 литературе приведены реализации такого подхода на уровне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методов связанных кластеров [3–4] и его варианта EOM-CC для расчета возбужденных состояний.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анный метод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позволяет учитывать эффекты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динамическ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ой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электронной корреляции и получать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хорошее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согласие для элементов I и VII группы периодической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системы,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где хорошо работает метод EOM-CC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Для систем с полузаполненными электронными оболочками этот метод применим хуже.</w:t>
      </w:r>
    </w:p>
    <w:p>
      <w:pPr>
        <w:pStyle w:val="Normal"/>
        <w:shd w:fill="FFFFFF" w:val="clear"/>
        <w:bidi w:val="0"/>
        <w:ind w:start="0" w:end="0" w:firstLine="397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Ранее нами был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предложен способ расчета электронной структуры в варианте методов UHF, UMP2 и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метод полного КВ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в рамках аналогичного формализма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[5]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В данной работе  рассмотрен метод МКССП.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роведен расчет элементов II периода; изучена картина изменения орбитальных энергия и состава орбиталей в случае последовательного увеличения значения внешнего магнитного  до экстремальных значений. Отдельно рассчитаны энергетические вклады в различные компоненты магнитных взаимодействий и выявлены общие закономерности в зависимостях энергий электронных уровней от внешнего магнитного поля от параметров изучаемой системы. </w:t>
      </w:r>
    </w:p>
    <w:p>
      <w:pPr>
        <w:pStyle w:val="Normal"/>
        <w:shd w:fill="FFFFFF" w:val="clear"/>
        <w:bidi w:val="0"/>
        <w:ind w:start="0" w:end="0" w:firstLine="397"/>
        <w:jc w:val="both"/>
        <w:rPr>
          <w:rFonts w:ascii="Times New Roman" w:hAnsi="Times New Roman" w:eastAsia="Times New Roman" w:cs="Times New Roman"/>
          <w:i/>
          <w:i/>
          <w:iCs/>
          <w:color w:val="000000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val="ru-RU" w:eastAsia="ru-RU"/>
        </w:rPr>
        <w:t>Работа выполнена при финансовой поддержке РНФ (проект № 22-23-01180).</w:t>
      </w:r>
    </w:p>
    <w:p>
      <w:pPr>
        <w:pStyle w:val="Normal"/>
        <w:shd w:fill="FFFFFF" w:val="clear"/>
        <w:bidi w:val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val="ru-RU"/>
        </w:rPr>
        <w:t>Литература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1. Kepler S. O., Koester D., Ourique G. A white dwarf with an oxygen atmosphere // Science. 2016. Vol. 352. P. 67-69.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2. Dufour P. et al. White dwarf stars with carbon atmospheres // Nature. 2007. Vol. 450. P. 522-524.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3. Stopkowicz S. et al. Coupled-cluster theory for atoms and molecules in strong magnetic fields // The Journal of Chemical Physics. 2015. Vol. 143. P. 074110.</w:t>
      </w:r>
    </w:p>
    <w:p>
      <w:pPr>
        <w:pStyle w:val="Normal"/>
        <w:shd w:fill="FFFFFF" w:val="clear"/>
        <w:bidi w:val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4. Hampe F., Stopkowicz S. Equation-of-motion coupled-cluster methods for atoms and molecules in strong magnetic fields // The Journal of Chemical Physics. 2017. Vol. 146. P. 154105.</w:t>
      </w:r>
    </w:p>
    <w:p>
      <w:pPr>
        <w:pStyle w:val="Normal"/>
        <w:shd w:fill="FFFFFF" w:val="clear"/>
        <w:bidi w:val="0"/>
        <w:jc w:val="both"/>
        <w:rPr/>
      </w:pPr>
      <w:bookmarkStart w:id="0" w:name="page9679R_mcid7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 xml:space="preserve">.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  <w:t>Бодунов А.А., Озеров Г.К. //</w:t>
      </w:r>
      <w:r>
        <w:rPr>
          <w:rStyle w:val="StrongEmphasis"/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ru-RU"/>
        </w:rPr>
        <w:t>Материалы Международной научной конференции студентов, аспирантов и молодых учёных «Ломоносов-2022», секция «Химия». 2022.</w:t>
      </w:r>
    </w:p>
    <w:p>
      <w:pPr>
        <w:pStyle w:val="Normal"/>
        <w:shd w:fill="FFFFFF" w:val="clear"/>
        <w:bidi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/>
        </w:rPr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tembodunov@mail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</TotalTime>
  <Application>LibreOffice/7.3.7.2$Linux_X86_64 LibreOffice_project/30$Build-2</Application>
  <AppVersion>15.0000</AppVersion>
  <Pages>1</Pages>
  <Words>483</Words>
  <Characters>3192</Characters>
  <CharactersWithSpaces>3660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2023-02-16T14:21:42Z</dcterms:created>
  <dc:creator/>
  <dc:description/>
  <dc:language>en-US</dc:language>
  <cp:lastModifiedBy/>
  <dcterms:modified xsi:type="dcterms:W3CDTF">2023-02-17T17:06:55Z</dcterms:modified>
  <cp:revision>12</cp:revision>
  <dc:subject/>
  <dc:title/>
</cp:coreProperties>
</file>