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839A8" w14:textId="77777777" w:rsidR="00F118F4" w:rsidRPr="00F118F4" w:rsidRDefault="00F118F4" w:rsidP="00F118F4">
      <w:pPr>
        <w:jc w:val="center"/>
        <w:rPr>
          <w:b/>
          <w:bCs/>
        </w:rPr>
      </w:pPr>
      <w:r w:rsidRPr="00F118F4">
        <w:rPr>
          <w:b/>
          <w:bCs/>
        </w:rPr>
        <w:t>Развитие методов расчета параметров спектров</w:t>
      </w:r>
    </w:p>
    <w:p w14:paraId="35B0553A" w14:textId="77777777" w:rsidR="00F118F4" w:rsidRDefault="00F118F4" w:rsidP="00F118F4">
      <w:pPr>
        <w:jc w:val="center"/>
        <w:rPr>
          <w:b/>
          <w:bCs/>
        </w:rPr>
      </w:pPr>
      <w:r w:rsidRPr="00F118F4">
        <w:rPr>
          <w:b/>
          <w:bCs/>
        </w:rPr>
        <w:t>углового распределения фотоэлектронов</w:t>
      </w:r>
    </w:p>
    <w:p w14:paraId="1C6F4A26" w14:textId="3AC52942" w:rsidR="00821112" w:rsidRPr="001200FF" w:rsidRDefault="00F118F4" w:rsidP="00F118F4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Козулин К.В</w:t>
      </w:r>
      <w:r w:rsidR="00821112" w:rsidRPr="004B7238">
        <w:rPr>
          <w:b/>
          <w:bCs/>
          <w:i/>
          <w:iCs/>
        </w:rPr>
        <w:t>.</w:t>
      </w:r>
      <w:r w:rsidR="001200FF">
        <w:rPr>
          <w:b/>
          <w:bCs/>
          <w:i/>
          <w:iCs/>
        </w:rPr>
        <w:t xml:space="preserve">, </w:t>
      </w:r>
      <w:proofErr w:type="spellStart"/>
      <w:r w:rsidR="001200FF">
        <w:rPr>
          <w:b/>
          <w:bCs/>
          <w:i/>
          <w:iCs/>
        </w:rPr>
        <w:t>Петряйкин</w:t>
      </w:r>
      <w:proofErr w:type="spellEnd"/>
      <w:r w:rsidR="001200FF">
        <w:rPr>
          <w:b/>
          <w:bCs/>
          <w:i/>
          <w:iCs/>
        </w:rPr>
        <w:t xml:space="preserve"> Ф.</w:t>
      </w:r>
      <w:r w:rsidR="00A6084A" w:rsidRPr="00A6084A">
        <w:rPr>
          <w:b/>
          <w:bCs/>
          <w:i/>
          <w:iCs/>
        </w:rPr>
        <w:t>А</w:t>
      </w:r>
      <w:r w:rsidR="001200FF">
        <w:rPr>
          <w:b/>
          <w:bCs/>
          <w:i/>
          <w:iCs/>
        </w:rPr>
        <w:t>.</w:t>
      </w:r>
    </w:p>
    <w:p w14:paraId="747C5C42" w14:textId="77777777" w:rsidR="00821112" w:rsidRPr="004B7238" w:rsidRDefault="00821112" w:rsidP="00821112">
      <w:pPr>
        <w:jc w:val="center"/>
        <w:rPr>
          <w:i/>
          <w:iCs/>
        </w:rPr>
      </w:pPr>
      <w:r w:rsidRPr="004B7238">
        <w:rPr>
          <w:i/>
          <w:iCs/>
        </w:rPr>
        <w:t>Студент</w:t>
      </w:r>
      <w:bookmarkStart w:id="0" w:name="_GoBack"/>
      <w:bookmarkEnd w:id="0"/>
      <w:r w:rsidRPr="004B7238">
        <w:rPr>
          <w:i/>
          <w:iCs/>
        </w:rPr>
        <w:t>, 5 курс специалитета</w:t>
      </w:r>
    </w:p>
    <w:p w14:paraId="61EC429D" w14:textId="77777777" w:rsidR="00821112" w:rsidRPr="00921D45" w:rsidRDefault="00821112" w:rsidP="008211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3FC47DF1" w14:textId="77777777" w:rsidR="00821112" w:rsidRPr="004B7238" w:rsidRDefault="00821112" w:rsidP="008211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6DF97D3F" w14:textId="467AEBA4" w:rsidR="009B2F80" w:rsidRPr="0050113B" w:rsidRDefault="00821112" w:rsidP="00821112">
      <w:pPr>
        <w:jc w:val="center"/>
        <w:rPr>
          <w:i/>
        </w:rPr>
      </w:pPr>
      <w:r w:rsidRPr="00F118F4">
        <w:rPr>
          <w:i/>
          <w:lang w:val="de-DE"/>
        </w:rPr>
        <w:t>E</w:t>
      </w:r>
      <w:r w:rsidRPr="0050113B">
        <w:rPr>
          <w:i/>
        </w:rPr>
        <w:t>-</w:t>
      </w:r>
      <w:r w:rsidRPr="00F118F4">
        <w:rPr>
          <w:i/>
          <w:lang w:val="de-DE"/>
        </w:rPr>
        <w:t>mail</w:t>
      </w:r>
      <w:r w:rsidRPr="0050113B">
        <w:rPr>
          <w:i/>
        </w:rPr>
        <w:t xml:space="preserve">: </w:t>
      </w:r>
      <w:proofErr w:type="spellStart"/>
      <w:r w:rsidR="00F118F4">
        <w:rPr>
          <w:i/>
          <w:lang w:val="de-DE"/>
        </w:rPr>
        <w:t>k</w:t>
      </w:r>
      <w:r w:rsidR="00F118F4" w:rsidRPr="00F118F4">
        <w:rPr>
          <w:i/>
          <w:lang w:val="de-DE"/>
        </w:rPr>
        <w:t>onstantin</w:t>
      </w:r>
      <w:proofErr w:type="spellEnd"/>
      <w:r w:rsidR="00F118F4" w:rsidRPr="0050113B">
        <w:rPr>
          <w:i/>
        </w:rPr>
        <w:t>.</w:t>
      </w:r>
      <w:proofErr w:type="spellStart"/>
      <w:r w:rsidR="00F118F4">
        <w:rPr>
          <w:i/>
          <w:lang w:val="de-DE"/>
        </w:rPr>
        <w:t>kozulin</w:t>
      </w:r>
      <w:proofErr w:type="spellEnd"/>
      <w:r w:rsidRPr="0050113B">
        <w:rPr>
          <w:i/>
        </w:rPr>
        <w:t>@</w:t>
      </w:r>
      <w:proofErr w:type="spellStart"/>
      <w:r w:rsidRPr="00F118F4">
        <w:rPr>
          <w:i/>
          <w:lang w:val="de-DE"/>
        </w:rPr>
        <w:t>chemistry</w:t>
      </w:r>
      <w:proofErr w:type="spellEnd"/>
      <w:r w:rsidRPr="0050113B">
        <w:rPr>
          <w:i/>
        </w:rPr>
        <w:t>.</w:t>
      </w:r>
      <w:proofErr w:type="spellStart"/>
      <w:r w:rsidRPr="00F118F4">
        <w:rPr>
          <w:i/>
          <w:lang w:val="de-DE"/>
        </w:rPr>
        <w:t>msu</w:t>
      </w:r>
      <w:proofErr w:type="spellEnd"/>
      <w:r w:rsidRPr="0050113B">
        <w:rPr>
          <w:i/>
        </w:rPr>
        <w:t>.</w:t>
      </w:r>
      <w:proofErr w:type="spellStart"/>
      <w:r w:rsidRPr="00F118F4">
        <w:rPr>
          <w:i/>
          <w:lang w:val="de-DE"/>
        </w:rPr>
        <w:t>ru</w:t>
      </w:r>
      <w:proofErr w:type="spellEnd"/>
    </w:p>
    <w:p w14:paraId="0CE00137" w14:textId="6A6DF4B2" w:rsidR="0050113B" w:rsidRDefault="0050113B" w:rsidP="00300629">
      <w:pPr>
        <w:ind w:firstLine="397"/>
        <w:jc w:val="both"/>
        <w:rPr>
          <w:iCs/>
        </w:rPr>
      </w:pPr>
      <w:r>
        <w:rPr>
          <w:iCs/>
        </w:rPr>
        <w:t xml:space="preserve">Теоретическое и экспериментальное изучение электронной структуры молекулярных и ионных систем является источником фундаментальных знаний о них. Одним из важнейших способов исследования электронной структуры является фотоэлектронная спектроскопия. В 1987 был впервые зарегистрирован спектр углового распределения фотоэлектронов в ходе исследования </w:t>
      </w:r>
      <w:proofErr w:type="spellStart"/>
      <w:r>
        <w:rPr>
          <w:iCs/>
        </w:rPr>
        <w:t>фотоионизации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электронейтральной</w:t>
      </w:r>
      <w:proofErr w:type="spellEnd"/>
      <w:r>
        <w:rPr>
          <w:iCs/>
        </w:rPr>
        <w:t xml:space="preserve"> молекулы </w:t>
      </w:r>
      <w:proofErr w:type="spellStart"/>
      <w:r>
        <w:rPr>
          <w:iCs/>
        </w:rPr>
        <w:t>иодоформа</w:t>
      </w:r>
      <w:proofErr w:type="spellEnd"/>
      <w:r>
        <w:rPr>
          <w:iCs/>
        </w:rPr>
        <w:t xml:space="preserve"> </w:t>
      </w:r>
      <w:r>
        <w:rPr>
          <w:rFonts w:eastAsiaTheme="minorEastAsia" w:hint="eastAsia"/>
          <w:iCs/>
          <w:lang w:eastAsia="ja-JP"/>
        </w:rPr>
        <w:t>[</w:t>
      </w:r>
      <w:r>
        <w:rPr>
          <w:rFonts w:eastAsiaTheme="minorEastAsia"/>
          <w:iCs/>
          <w:lang w:eastAsia="ja-JP"/>
        </w:rPr>
        <w:t>1]</w:t>
      </w:r>
      <w:r>
        <w:rPr>
          <w:iCs/>
        </w:rPr>
        <w:t xml:space="preserve">. В настоящее время данный метод был распространен и на </w:t>
      </w:r>
      <w:proofErr w:type="spellStart"/>
      <w:r>
        <w:rPr>
          <w:iCs/>
        </w:rPr>
        <w:t>газофазные</w:t>
      </w:r>
      <w:proofErr w:type="spellEnd"/>
      <w:r>
        <w:rPr>
          <w:iCs/>
        </w:rPr>
        <w:t xml:space="preserve"> ионы.</w:t>
      </w:r>
    </w:p>
    <w:p w14:paraId="3D6B0296" w14:textId="2DAC3B61" w:rsidR="0050113B" w:rsidRDefault="0050113B" w:rsidP="00C83AEA">
      <w:pPr>
        <w:ind w:firstLine="397"/>
        <w:jc w:val="both"/>
        <w:rPr>
          <w:rFonts w:ascii="Cambria Math" w:hAnsi="Cambria Math" w:cs="Cambria Math"/>
          <w:iCs/>
        </w:rPr>
      </w:pPr>
      <w:r>
        <w:rPr>
          <w:iCs/>
        </w:rPr>
        <w:t>Несмотря на высокий уровень проводимых экспериментальных исследований, теоретическое описание получаемых спектров до сих пор остается неудовлетворительным. Важнейшей наблюдаемой в фотоэлектронной спектроскопии является параметр анизотропии углового распределения испущенных фотоэлектронов</w:t>
      </w:r>
      <w:r w:rsidR="00C83AEA">
        <w:rPr>
          <w:iCs/>
        </w:rPr>
        <w:t xml:space="preserve"> (β)</w:t>
      </w:r>
      <w:r>
        <w:rPr>
          <w:iCs/>
        </w:rPr>
        <w:t xml:space="preserve">. </w:t>
      </w:r>
      <w:r w:rsidR="00C83AEA">
        <w:rPr>
          <w:iCs/>
        </w:rPr>
        <w:t>Его з</w:t>
      </w:r>
      <w:r w:rsidR="00C83AEA" w:rsidRPr="00C83AEA">
        <w:rPr>
          <w:iCs/>
        </w:rPr>
        <w:t xml:space="preserve">начение </w:t>
      </w:r>
      <w:r w:rsidR="00C83AEA">
        <w:rPr>
          <w:iCs/>
        </w:rPr>
        <w:t>можно определить</w:t>
      </w:r>
      <w:r w:rsidR="00C83AEA" w:rsidRPr="00C83AEA">
        <w:rPr>
          <w:iCs/>
        </w:rPr>
        <w:t>, рассчитав дифференциальн</w:t>
      </w:r>
      <w:r w:rsidR="00C83AEA">
        <w:rPr>
          <w:iCs/>
        </w:rPr>
        <w:t>ы</w:t>
      </w:r>
      <w:r w:rsidR="00C83AEA" w:rsidRPr="00C83AEA">
        <w:rPr>
          <w:iCs/>
        </w:rPr>
        <w:t>е сечени</w:t>
      </w:r>
      <w:r w:rsidR="00C83AEA">
        <w:rPr>
          <w:iCs/>
        </w:rPr>
        <w:t xml:space="preserve">я </w:t>
      </w:r>
      <w:r w:rsidR="00C83AEA" w:rsidRPr="00C83AEA">
        <w:rPr>
          <w:iCs/>
        </w:rPr>
        <w:t>при углах вылета электрона θ = 0 (σ</w:t>
      </w:r>
      <w:r w:rsidR="00C83AEA" w:rsidRPr="00C83AEA">
        <w:rPr>
          <w:rFonts w:ascii="Cambria Math" w:hAnsi="Cambria Math" w:cs="Cambria Math"/>
          <w:iCs/>
          <w:vertAlign w:val="subscript"/>
        </w:rPr>
        <w:t>∥</w:t>
      </w:r>
      <w:r w:rsidR="00C83AEA" w:rsidRPr="00C83AEA">
        <w:rPr>
          <w:iCs/>
        </w:rPr>
        <w:t>) и θ = π/2 (σ</w:t>
      </w:r>
      <w:r w:rsidR="00C83AEA" w:rsidRPr="00C83AEA">
        <w:rPr>
          <w:rFonts w:ascii="Cambria Math" w:hAnsi="Cambria Math" w:cs="Cambria Math"/>
          <w:iCs/>
          <w:vertAlign w:val="subscript"/>
        </w:rPr>
        <w:t>⊥</w:t>
      </w:r>
      <w:r w:rsidR="00C83AEA" w:rsidRPr="00C83AEA">
        <w:rPr>
          <w:iCs/>
        </w:rPr>
        <w:t>)</w:t>
      </w:r>
      <w:r w:rsidR="00C83AEA">
        <w:rPr>
          <w:iCs/>
        </w:rPr>
        <w:t xml:space="preserve"> </w:t>
      </w:r>
      <w:r w:rsidR="00C83AEA">
        <w:rPr>
          <w:rFonts w:eastAsiaTheme="minorEastAsia" w:hint="eastAsia"/>
          <w:iCs/>
          <w:lang w:eastAsia="ja-JP"/>
        </w:rPr>
        <w:t>[</w:t>
      </w:r>
      <w:r w:rsidR="00C83AEA">
        <w:rPr>
          <w:rFonts w:eastAsiaTheme="minorEastAsia"/>
          <w:iCs/>
          <w:lang w:eastAsia="ja-JP"/>
        </w:rPr>
        <w:t>2]</w:t>
      </w:r>
      <w:r w:rsidR="00C83AEA">
        <w:rPr>
          <w:iCs/>
        </w:rPr>
        <w:t xml:space="preserve">. Таким образом, достаточно получить выражения для дипольных матричных элементов электронного </w:t>
      </w:r>
      <w:r w:rsidR="00C83AEA" w:rsidRPr="00C83AEA">
        <w:rPr>
          <w:iCs/>
        </w:rPr>
        <w:t xml:space="preserve">переходы </w:t>
      </w:r>
      <w:r w:rsidR="00C83AEA" w:rsidRPr="00C83AEA">
        <w:rPr>
          <w:rFonts w:eastAsiaTheme="minorEastAsia"/>
          <w:iCs/>
          <w:lang w:eastAsia="ja-JP"/>
        </w:rPr>
        <w:t>M</w:t>
      </w:r>
      <w:r w:rsidR="00C83AEA" w:rsidRPr="00C83AEA">
        <w:rPr>
          <w:rFonts w:ascii="Cambria Math" w:hAnsi="Cambria Math" w:cs="Cambria Math"/>
          <w:iCs/>
          <w:vertAlign w:val="subscript"/>
        </w:rPr>
        <w:t>∥</w:t>
      </w:r>
      <w:r w:rsidR="00C83AEA" w:rsidRPr="00C83AEA">
        <w:rPr>
          <w:iCs/>
        </w:rPr>
        <w:t xml:space="preserve"> и </w:t>
      </w:r>
      <w:r w:rsidR="00C83AEA" w:rsidRPr="00C83AEA">
        <w:rPr>
          <w:rFonts w:eastAsiaTheme="minorEastAsia"/>
          <w:iCs/>
          <w:lang w:eastAsia="ja-JP"/>
        </w:rPr>
        <w:t>M</w:t>
      </w:r>
      <w:r w:rsidR="00C83AEA" w:rsidRPr="00C83AEA">
        <w:rPr>
          <w:rFonts w:ascii="Cambria Math" w:hAnsi="Cambria Math" w:cs="Cambria Math"/>
          <w:iCs/>
          <w:vertAlign w:val="subscript"/>
        </w:rPr>
        <w:t>⊥</w:t>
      </w:r>
      <w:r w:rsidR="00C83AEA">
        <w:rPr>
          <w:rFonts w:ascii="Cambria Math" w:hAnsi="Cambria Math" w:cs="Cambria Math"/>
          <w:iCs/>
        </w:rPr>
        <w:t>:</w:t>
      </w:r>
    </w:p>
    <w:p w14:paraId="35F11426" w14:textId="03F7EE39" w:rsidR="00C83AEA" w:rsidRPr="00C83AEA" w:rsidRDefault="00FE11AC" w:rsidP="00C83AEA">
      <w:pPr>
        <w:ind w:firstLine="397"/>
        <w:jc w:val="both"/>
        <w:rPr>
          <w:rFonts w:eastAsiaTheme="minorEastAsia"/>
          <w:iCs/>
          <w:lang w:eastAsia="ja-JP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lang w:eastAsia="ja-JP"/>
            </w:rPr>
            <m:t>β=</m:t>
          </m:r>
          <m:f>
            <m:fPr>
              <m:ctrlPr>
                <w:rPr>
                  <w:rFonts w:ascii="Cambria Math" w:eastAsiaTheme="minorEastAsia" w:hAnsi="Cambria Math"/>
                  <w:iCs/>
                  <w:lang w:eastAsia="ja-JP"/>
                </w:rPr>
              </m:ctrlPr>
            </m:fPr>
            <m:num>
              <m:r>
                <w:rPr>
                  <w:rFonts w:ascii="Cambria Math" w:eastAsiaTheme="minorEastAsia" w:hAnsi="Cambria Math"/>
                  <w:lang w:eastAsia="ja-JP"/>
                </w:rPr>
                <m:t>2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lang w:eastAsia="ja-JP"/>
                </w:rPr>
                <m:t>(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Cs/>
                      <w:lang w:eastAsia="ja-JP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ja-JP"/>
                    </w:rPr>
                    <m:t>|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Cs/>
                          <w:lang w:eastAsia="ja-JP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ja-JP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vertAlign w:val="subscript"/>
                        </w:rPr>
                        <m:t>∥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eastAsia="ja-JP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eastAsia="ja-JP"/>
                        </w:rPr>
                        <m:t>|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eastAsia="ja-JP"/>
                        </w:rPr>
                        <m:t>2</m:t>
                      </m:r>
                    </m:sup>
                  </m:sSup>
                </m:e>
              </m:bar>
              <m:r>
                <w:rPr>
                  <w:rFonts w:ascii="Cambria Math" w:eastAsiaTheme="minorEastAsia" w:hAnsi="Cambria Math"/>
                  <w:lang w:eastAsia="ja-JP"/>
                </w:rPr>
                <m:t>-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iCs/>
                      <w:lang w:eastAsia="ja-JP"/>
                    </w:rPr>
                  </m:ctrlPr>
                </m:bar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eastAsia="ja-JP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eastAsia="ja-JP"/>
                        </w:rPr>
                        <m:t>|</m:t>
                      </m:r>
                      <m:r>
                        <w:rPr>
                          <w:rFonts w:ascii="Cambria Math" w:eastAsiaTheme="minorEastAsia" w:hAnsi="Cambria Math"/>
                          <w:lang w:eastAsia="ja-JP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vertAlign w:val="subscript"/>
                        </w:rPr>
                        <m:t>⊥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eastAsia="ja-JP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eastAsia="ja-JP"/>
                        </w:rPr>
                        <m:t>|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eastAsia="ja-JP"/>
                        </w:rPr>
                        <m:t>2</m:t>
                      </m:r>
                    </m:sup>
                  </m:sSup>
                </m:e>
              </m:bar>
              <m:r>
                <w:rPr>
                  <w:rFonts w:ascii="Cambria Math" w:eastAsiaTheme="minorEastAsia" w:hAnsi="Cambria Math"/>
                  <w:lang w:eastAsia="ja-JP"/>
                </w:rPr>
                <m:t>)</m:t>
              </m:r>
            </m:num>
            <m:den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Cs/>
                      <w:lang w:eastAsia="ja-JP"/>
                    </w:rPr>
                  </m:ctrlPr>
                </m:barPr>
                <m:e>
                  <m:r>
                    <w:rPr>
                      <w:rFonts w:ascii="Cambria Math" w:eastAsiaTheme="minorEastAsia" w:hAnsi="Cambria Math"/>
                      <w:lang w:eastAsia="ja-JP"/>
                    </w:rPr>
                    <m:t>|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Cs/>
                          <w:lang w:eastAsia="ja-JP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ja-JP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vertAlign w:val="subscript"/>
                        </w:rPr>
                        <m:t>∥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eastAsia="ja-JP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eastAsia="ja-JP"/>
                        </w:rPr>
                        <m:t>|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eastAsia="ja-JP"/>
                        </w:rPr>
                        <m:t>2</m:t>
                      </m:r>
                    </m:sup>
                  </m:sSup>
                </m:e>
              </m:bar>
              <m:r>
                <w:rPr>
                  <w:rFonts w:ascii="Cambria Math" w:eastAsiaTheme="minorEastAsia" w:hAnsi="Cambria Math"/>
                  <w:lang w:eastAsia="ja-JP"/>
                </w:rPr>
                <m:t>+2</m:t>
              </m:r>
              <m:bar>
                <m:barPr>
                  <m:pos m:val="top"/>
                  <m:ctrlPr>
                    <w:rPr>
                      <w:rFonts w:ascii="Cambria Math" w:eastAsiaTheme="minorEastAsia" w:hAnsi="Cambria Math"/>
                      <w:i/>
                      <w:iCs/>
                      <w:lang w:eastAsia="ja-JP"/>
                    </w:rPr>
                  </m:ctrlPr>
                </m:bar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eastAsia="ja-JP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eastAsia="ja-JP"/>
                        </w:rPr>
                        <m:t>|</m:t>
                      </m:r>
                      <m:r>
                        <w:rPr>
                          <w:rFonts w:ascii="Cambria Math" w:eastAsiaTheme="minorEastAsia" w:hAnsi="Cambria Math"/>
                          <w:lang w:eastAsia="ja-JP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vertAlign w:val="subscript"/>
                        </w:rPr>
                        <m:t>⊥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eastAsia="ja-JP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eastAsia="ja-JP"/>
                        </w:rPr>
                        <m:t>|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eastAsia="ja-JP"/>
                        </w:rPr>
                        <m:t>2</m:t>
                      </m:r>
                    </m:sup>
                  </m:sSup>
                </m:e>
              </m:bar>
            </m:den>
          </m:f>
          <m:r>
            <w:rPr>
              <w:rFonts w:ascii="Cambria Math" w:eastAsiaTheme="minorEastAsia" w:hAnsi="Cambria Math"/>
              <w:lang w:eastAsia="ja-JP"/>
            </w:rPr>
            <m:t xml:space="preserve"> .</m:t>
          </m:r>
        </m:oMath>
      </m:oMathPara>
    </w:p>
    <w:p w14:paraId="436EC74A" w14:textId="7AC460C2" w:rsidR="001200FF" w:rsidRDefault="00E73F8B" w:rsidP="001200FF">
      <w:pPr>
        <w:ind w:firstLine="397"/>
        <w:jc w:val="both"/>
        <w:rPr>
          <w:iCs/>
        </w:rPr>
      </w:pPr>
      <w:r>
        <w:rPr>
          <w:iCs/>
        </w:rPr>
        <w:t xml:space="preserve">Квадраты матричных элементов необходимо усреднить, исходя из предположения о случайной ориентации исходной молекулярной системы. Это можно сделать двумя способами: в лабораторной (ЛСК) или молекулярной (МСК) системах координат. В литературе описан только один из данных подходов, а именно – усреднение </w:t>
      </w:r>
      <w:r w:rsidRPr="00E73F8B">
        <w:rPr>
          <w:iCs/>
        </w:rPr>
        <w:t>по всем поляризациям света</w:t>
      </w:r>
      <w:r>
        <w:rPr>
          <w:iCs/>
        </w:rPr>
        <w:t xml:space="preserve"> </w:t>
      </w:r>
      <w:r>
        <w:rPr>
          <w:rFonts w:eastAsiaTheme="minorEastAsia" w:hint="eastAsia"/>
          <w:iCs/>
          <w:lang w:eastAsia="ja-JP"/>
        </w:rPr>
        <w:t>[</w:t>
      </w:r>
      <w:r>
        <w:rPr>
          <w:rFonts w:eastAsiaTheme="minorEastAsia"/>
          <w:iCs/>
          <w:lang w:eastAsia="ja-JP"/>
        </w:rPr>
        <w:t>3]</w:t>
      </w:r>
      <w:r>
        <w:rPr>
          <w:iCs/>
        </w:rPr>
        <w:t xml:space="preserve">. </w:t>
      </w:r>
      <w:r w:rsidR="001200FF">
        <w:rPr>
          <w:iCs/>
        </w:rPr>
        <w:t>Существующие программы являются ресурсоемкими в плане вычисления, поскольку вычисление матричных элементов производится на сетке в трехмерном пространстве, а получаемые результаты показывают хорошее согласие с экспериментом только для узкого диапазона исследуемых систем.</w:t>
      </w:r>
    </w:p>
    <w:p w14:paraId="58A24E4E" w14:textId="384675CB" w:rsidR="00F118F4" w:rsidRDefault="001200FF" w:rsidP="00300629">
      <w:pPr>
        <w:ind w:firstLine="397"/>
        <w:jc w:val="both"/>
        <w:rPr>
          <w:rFonts w:eastAsiaTheme="minorEastAsia"/>
          <w:iCs/>
          <w:lang w:eastAsia="ja-JP"/>
        </w:rPr>
      </w:pPr>
      <w:r>
        <w:rPr>
          <w:iCs/>
        </w:rPr>
        <w:t>В</w:t>
      </w:r>
      <w:r w:rsidR="00300629">
        <w:rPr>
          <w:iCs/>
        </w:rPr>
        <w:t xml:space="preserve"> рамках данной работы </w:t>
      </w:r>
      <w:r w:rsidR="00F118F4">
        <w:rPr>
          <w:iCs/>
        </w:rPr>
        <w:t xml:space="preserve">представлен альтернативный метод вывода параметров спектра </w:t>
      </w:r>
      <w:r w:rsidR="00F118F4">
        <w:rPr>
          <w:rFonts w:eastAsiaTheme="minorEastAsia" w:hint="eastAsia"/>
          <w:iCs/>
          <w:lang w:eastAsia="ja-JP"/>
        </w:rPr>
        <w:t>P</w:t>
      </w:r>
      <w:r w:rsidR="00F118F4">
        <w:rPr>
          <w:rFonts w:eastAsiaTheme="minorEastAsia"/>
          <w:iCs/>
          <w:lang w:eastAsia="ja-JP"/>
        </w:rPr>
        <w:t xml:space="preserve">AD, </w:t>
      </w:r>
      <w:r>
        <w:rPr>
          <w:rFonts w:eastAsiaTheme="minorEastAsia"/>
          <w:iCs/>
          <w:lang w:eastAsia="ja-JP"/>
        </w:rPr>
        <w:t xml:space="preserve">основанный на </w:t>
      </w:r>
      <w:proofErr w:type="spellStart"/>
      <w:r>
        <w:rPr>
          <w:rFonts w:eastAsiaTheme="minorEastAsia"/>
          <w:iCs/>
          <w:lang w:eastAsia="ja-JP"/>
        </w:rPr>
        <w:t>мультипольном</w:t>
      </w:r>
      <w:proofErr w:type="spellEnd"/>
      <w:r>
        <w:rPr>
          <w:rFonts w:eastAsiaTheme="minorEastAsia"/>
          <w:iCs/>
          <w:lang w:eastAsia="ja-JP"/>
        </w:rPr>
        <w:t xml:space="preserve"> разложении, </w:t>
      </w:r>
      <w:r w:rsidR="00F118F4">
        <w:rPr>
          <w:rFonts w:eastAsiaTheme="minorEastAsia"/>
          <w:iCs/>
          <w:lang w:eastAsia="ja-JP"/>
        </w:rPr>
        <w:t>проведено сравнение с существующими подходами и получены выражения для расчета параметров спектра в случае плоской, кулоновской и дипольной волн.</w:t>
      </w:r>
      <w:r>
        <w:rPr>
          <w:rFonts w:eastAsiaTheme="minorEastAsia"/>
          <w:iCs/>
          <w:lang w:eastAsia="ja-JP"/>
        </w:rPr>
        <w:t xml:space="preserve"> Предложенный подход позволяет избавиться от процедуры вычисления интегралов в трехмерном пространстве</w:t>
      </w:r>
      <w:r w:rsidR="00717A5E">
        <w:rPr>
          <w:rFonts w:eastAsiaTheme="minorEastAsia"/>
          <w:iCs/>
          <w:lang w:eastAsia="ja-JP"/>
        </w:rPr>
        <w:t>, переходя к вычислению фазовых сдвигов вычислением одномерных интегралов по радиальным переменным.</w:t>
      </w:r>
    </w:p>
    <w:p w14:paraId="6E6BA722" w14:textId="308FA45F" w:rsidR="00821112" w:rsidRPr="00821112" w:rsidRDefault="00F118F4" w:rsidP="00300629">
      <w:pPr>
        <w:ind w:firstLine="397"/>
        <w:jc w:val="both"/>
        <w:rPr>
          <w:iCs/>
        </w:rPr>
      </w:pPr>
      <w:r>
        <w:rPr>
          <w:rFonts w:eastAsiaTheme="minorEastAsia"/>
          <w:iCs/>
          <w:lang w:eastAsia="ja-JP"/>
        </w:rPr>
        <w:t>Верификация полученных результатов была проведена сравнением различных реализаций предложенного подхода на простых модельных системах.</w:t>
      </w:r>
    </w:p>
    <w:p w14:paraId="1C19B612" w14:textId="77777777" w:rsidR="00F118F4" w:rsidRPr="00F118F4" w:rsidRDefault="00F118F4" w:rsidP="00821112">
      <w:pPr>
        <w:ind w:firstLine="397"/>
        <w:jc w:val="both"/>
        <w:rPr>
          <w:bCs/>
          <w:i/>
        </w:rPr>
      </w:pPr>
    </w:p>
    <w:p w14:paraId="1083CDFE" w14:textId="0DCEA89F" w:rsidR="00F118F4" w:rsidRPr="001200FF" w:rsidRDefault="00F118F4" w:rsidP="00821112">
      <w:pPr>
        <w:ind w:firstLine="397"/>
        <w:jc w:val="both"/>
        <w:rPr>
          <w:bCs/>
          <w:iCs/>
          <w:u w:val="single"/>
          <w:lang w:val="en-US"/>
        </w:rPr>
      </w:pPr>
      <w:r w:rsidRPr="00F118F4">
        <w:rPr>
          <w:bCs/>
          <w:iCs/>
          <w:u w:val="single"/>
        </w:rPr>
        <w:t>Литература</w:t>
      </w:r>
      <w:r w:rsidRPr="001200FF">
        <w:rPr>
          <w:bCs/>
          <w:iCs/>
          <w:u w:val="single"/>
          <w:lang w:val="en-US"/>
        </w:rPr>
        <w:t>:</w:t>
      </w:r>
    </w:p>
    <w:p w14:paraId="0F9B1211" w14:textId="586E8976" w:rsidR="00821112" w:rsidRPr="001200FF" w:rsidRDefault="00821112" w:rsidP="00C83AEA">
      <w:pPr>
        <w:pStyle w:val="a5"/>
        <w:ind w:left="0" w:firstLine="426"/>
        <w:jc w:val="both"/>
        <w:rPr>
          <w:lang w:val="en-US" w:eastAsia="fr-FR"/>
        </w:rPr>
      </w:pPr>
      <w:r w:rsidRPr="0050113B">
        <w:rPr>
          <w:lang w:val="en-US"/>
        </w:rPr>
        <w:t xml:space="preserve">[1] </w:t>
      </w:r>
      <w:r w:rsidR="0050113B" w:rsidRPr="0050113B">
        <w:rPr>
          <w:lang w:val="en-US"/>
        </w:rPr>
        <w:t xml:space="preserve">Chandler D.W., Houston P.L. J. Chem. </w:t>
      </w:r>
      <w:r w:rsidR="0050113B" w:rsidRPr="001200FF">
        <w:rPr>
          <w:lang w:val="en-US"/>
        </w:rPr>
        <w:t>Phys. 1987 Vol. 87(2). P. 1445-1447.</w:t>
      </w:r>
    </w:p>
    <w:p w14:paraId="67175524" w14:textId="77777777" w:rsidR="00C83AEA" w:rsidRPr="001200FF" w:rsidRDefault="00821112" w:rsidP="00C83AEA">
      <w:pPr>
        <w:pStyle w:val="a5"/>
        <w:ind w:left="0" w:firstLine="426"/>
        <w:jc w:val="both"/>
        <w:rPr>
          <w:lang w:val="en-US" w:eastAsia="fr-FR"/>
        </w:rPr>
      </w:pPr>
      <w:r w:rsidRPr="004B7238">
        <w:rPr>
          <w:lang w:val="en-US" w:eastAsia="fr-FR"/>
        </w:rPr>
        <w:t xml:space="preserve">[2] </w:t>
      </w:r>
      <w:proofErr w:type="spellStart"/>
      <w:r w:rsidR="00C83AEA" w:rsidRPr="00C83AEA">
        <w:rPr>
          <w:lang w:val="en-US" w:eastAsia="fr-FR"/>
        </w:rPr>
        <w:t>Oana</w:t>
      </w:r>
      <w:proofErr w:type="spellEnd"/>
      <w:r w:rsidR="00C83AEA">
        <w:rPr>
          <w:lang w:val="en-US" w:eastAsia="fr-FR"/>
        </w:rPr>
        <w:t xml:space="preserve"> </w:t>
      </w:r>
      <w:r w:rsidR="00C83AEA" w:rsidRPr="00C83AEA">
        <w:rPr>
          <w:lang w:val="en-US" w:eastAsia="fr-FR"/>
        </w:rPr>
        <w:t>C.M.,</w:t>
      </w:r>
      <w:r w:rsidR="00C83AEA">
        <w:rPr>
          <w:lang w:val="en-US" w:eastAsia="fr-FR"/>
        </w:rPr>
        <w:t xml:space="preserve"> </w:t>
      </w:r>
      <w:proofErr w:type="spellStart"/>
      <w:r w:rsidR="00C83AEA" w:rsidRPr="00C83AEA">
        <w:rPr>
          <w:lang w:val="en-US" w:eastAsia="fr-FR"/>
        </w:rPr>
        <w:t>Krylov</w:t>
      </w:r>
      <w:proofErr w:type="spellEnd"/>
      <w:r w:rsidR="00C83AEA">
        <w:rPr>
          <w:lang w:val="en-US" w:eastAsia="fr-FR"/>
        </w:rPr>
        <w:t xml:space="preserve"> </w:t>
      </w:r>
      <w:r w:rsidR="00C83AEA" w:rsidRPr="00C83AEA">
        <w:rPr>
          <w:lang w:val="en-US" w:eastAsia="fr-FR"/>
        </w:rPr>
        <w:t>A.I.</w:t>
      </w:r>
      <w:r w:rsidR="00C83AEA">
        <w:rPr>
          <w:lang w:val="en-US" w:eastAsia="fr-FR"/>
        </w:rPr>
        <w:t xml:space="preserve"> J</w:t>
      </w:r>
      <w:r w:rsidR="00C83AEA" w:rsidRPr="00C83AEA">
        <w:rPr>
          <w:lang w:val="en-US" w:eastAsia="fr-FR"/>
        </w:rPr>
        <w:t xml:space="preserve">. Chem. </w:t>
      </w:r>
      <w:r w:rsidR="00C83AEA" w:rsidRPr="001200FF">
        <w:rPr>
          <w:lang w:val="en-US" w:eastAsia="fr-FR"/>
        </w:rPr>
        <w:t xml:space="preserve">Phys. 2009 V. 131 (12) P. 124114. </w:t>
      </w:r>
    </w:p>
    <w:p w14:paraId="3486C755" w14:textId="4B3B128C" w:rsidR="00116478" w:rsidRPr="00C83AEA" w:rsidRDefault="00821112" w:rsidP="00C83AEA">
      <w:pPr>
        <w:pStyle w:val="a5"/>
        <w:ind w:left="0" w:firstLine="426"/>
        <w:jc w:val="both"/>
        <w:rPr>
          <w:lang w:val="de-DE" w:eastAsia="fr-FR"/>
        </w:rPr>
      </w:pPr>
      <w:r w:rsidRPr="00E73F8B">
        <w:rPr>
          <w:lang w:val="en-US" w:eastAsia="fr-FR"/>
        </w:rPr>
        <w:t xml:space="preserve">[3] </w:t>
      </w:r>
      <w:proofErr w:type="spellStart"/>
      <w:r w:rsidR="00E73F8B" w:rsidRPr="00E73F8B">
        <w:rPr>
          <w:lang w:val="en-US" w:eastAsia="fr-FR"/>
        </w:rPr>
        <w:t>Gozem</w:t>
      </w:r>
      <w:proofErr w:type="spellEnd"/>
      <w:r w:rsidR="00E73F8B" w:rsidRPr="00E73F8B">
        <w:rPr>
          <w:lang w:val="en-US" w:eastAsia="fr-FR"/>
        </w:rPr>
        <w:t xml:space="preserve"> S., </w:t>
      </w:r>
      <w:proofErr w:type="spellStart"/>
      <w:r w:rsidR="00E73F8B" w:rsidRPr="00E73F8B">
        <w:rPr>
          <w:lang w:val="en-US" w:eastAsia="fr-FR"/>
        </w:rPr>
        <w:t>Krylov</w:t>
      </w:r>
      <w:proofErr w:type="spellEnd"/>
      <w:r w:rsidR="00E73F8B" w:rsidRPr="00E73F8B">
        <w:rPr>
          <w:lang w:val="en-US" w:eastAsia="fr-FR"/>
        </w:rPr>
        <w:t xml:space="preserve"> A.I. </w:t>
      </w:r>
      <w:proofErr w:type="spellStart"/>
      <w:r w:rsidR="00E73F8B" w:rsidRPr="00E73F8B">
        <w:rPr>
          <w:lang w:val="en-US" w:eastAsia="fr-FR"/>
        </w:rPr>
        <w:t>EzDyson</w:t>
      </w:r>
      <w:proofErr w:type="spellEnd"/>
      <w:r w:rsidR="00E73F8B" w:rsidRPr="00E73F8B">
        <w:rPr>
          <w:lang w:val="en-US" w:eastAsia="fr-FR"/>
        </w:rPr>
        <w:t xml:space="preserve"> User’s Manual. </w:t>
      </w:r>
      <w:r w:rsidR="00E73F8B" w:rsidRPr="00E73F8B">
        <w:rPr>
          <w:lang w:val="de-DE" w:eastAsia="fr-FR"/>
        </w:rPr>
        <w:t xml:space="preserve">University </w:t>
      </w:r>
      <w:proofErr w:type="spellStart"/>
      <w:r w:rsidR="00E73F8B" w:rsidRPr="00E73F8B">
        <w:rPr>
          <w:lang w:val="de-DE" w:eastAsia="fr-FR"/>
        </w:rPr>
        <w:t>of</w:t>
      </w:r>
      <w:proofErr w:type="spellEnd"/>
      <w:r w:rsidR="00E73F8B" w:rsidRPr="00E73F8B">
        <w:rPr>
          <w:lang w:val="de-DE" w:eastAsia="fr-FR"/>
        </w:rPr>
        <w:t xml:space="preserve"> Southern California, 2018.</w:t>
      </w:r>
    </w:p>
    <w:sectPr w:rsidR="00116478" w:rsidRPr="00C83AE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200FF"/>
    <w:rsid w:val="00130241"/>
    <w:rsid w:val="001E61C2"/>
    <w:rsid w:val="001F0493"/>
    <w:rsid w:val="00207D1B"/>
    <w:rsid w:val="002264EE"/>
    <w:rsid w:val="0023307C"/>
    <w:rsid w:val="00300629"/>
    <w:rsid w:val="0031361E"/>
    <w:rsid w:val="00317676"/>
    <w:rsid w:val="0033171D"/>
    <w:rsid w:val="00386365"/>
    <w:rsid w:val="00391C38"/>
    <w:rsid w:val="003B76D6"/>
    <w:rsid w:val="003B7C31"/>
    <w:rsid w:val="004A26A3"/>
    <w:rsid w:val="004E589A"/>
    <w:rsid w:val="004F0EDF"/>
    <w:rsid w:val="0050113B"/>
    <w:rsid w:val="00522BF1"/>
    <w:rsid w:val="00590166"/>
    <w:rsid w:val="005A23B9"/>
    <w:rsid w:val="005B3F34"/>
    <w:rsid w:val="005B68F2"/>
    <w:rsid w:val="006F7A19"/>
    <w:rsid w:val="00717A5E"/>
    <w:rsid w:val="00775389"/>
    <w:rsid w:val="00797838"/>
    <w:rsid w:val="007A2765"/>
    <w:rsid w:val="007C36D8"/>
    <w:rsid w:val="007C52A3"/>
    <w:rsid w:val="007F2744"/>
    <w:rsid w:val="00821112"/>
    <w:rsid w:val="008931BE"/>
    <w:rsid w:val="00921D45"/>
    <w:rsid w:val="009A66DB"/>
    <w:rsid w:val="009B2F80"/>
    <w:rsid w:val="009B3300"/>
    <w:rsid w:val="009F3380"/>
    <w:rsid w:val="00A02163"/>
    <w:rsid w:val="00A314FE"/>
    <w:rsid w:val="00A40C33"/>
    <w:rsid w:val="00A6084A"/>
    <w:rsid w:val="00B513F3"/>
    <w:rsid w:val="00BF36F8"/>
    <w:rsid w:val="00BF4622"/>
    <w:rsid w:val="00C83AEA"/>
    <w:rsid w:val="00CD00B1"/>
    <w:rsid w:val="00CE1184"/>
    <w:rsid w:val="00D22306"/>
    <w:rsid w:val="00D42542"/>
    <w:rsid w:val="00D8121C"/>
    <w:rsid w:val="00E22189"/>
    <w:rsid w:val="00E73F8B"/>
    <w:rsid w:val="00E74069"/>
    <w:rsid w:val="00EB1F49"/>
    <w:rsid w:val="00F118F4"/>
    <w:rsid w:val="00F865B3"/>
    <w:rsid w:val="00F95954"/>
    <w:rsid w:val="00FB1509"/>
    <w:rsid w:val="00FE11A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708163-63D9-4EDC-A97F-5EBEC47A8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Konstantin Kozulin</cp:lastModifiedBy>
  <cp:revision>14</cp:revision>
  <dcterms:created xsi:type="dcterms:W3CDTF">2023-01-20T07:15:00Z</dcterms:created>
  <dcterms:modified xsi:type="dcterms:W3CDTF">2023-02-24T18:56:00Z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