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CFCF" w14:textId="77777777" w:rsidR="00130241" w:rsidRPr="002615E5" w:rsidRDefault="006262C1">
      <w:pPr>
        <w:pBdr>
          <w:top w:val="nil"/>
          <w:left w:val="nil"/>
          <w:bottom w:val="nil"/>
          <w:right w:val="nil"/>
          <w:between w:val="nil"/>
        </w:pBdr>
        <w:shd w:val="clear" w:color="auto" w:fill="FFFFFF"/>
        <w:jc w:val="center"/>
        <w:rPr>
          <w:color w:val="000000"/>
        </w:rPr>
      </w:pPr>
      <w:r>
        <w:rPr>
          <w:b/>
          <w:color w:val="000000"/>
        </w:rPr>
        <w:t>О</w:t>
      </w:r>
      <w:r w:rsidR="00B638D4">
        <w:rPr>
          <w:b/>
          <w:color w:val="000000"/>
        </w:rPr>
        <w:t>пределени</w:t>
      </w:r>
      <w:r>
        <w:rPr>
          <w:b/>
          <w:color w:val="000000"/>
        </w:rPr>
        <w:t>е</w:t>
      </w:r>
      <w:r w:rsidR="00B638D4">
        <w:rPr>
          <w:b/>
          <w:color w:val="000000"/>
        </w:rPr>
        <w:t xml:space="preserve"> коэффициентов распределения</w:t>
      </w:r>
      <w:r w:rsidR="0006614B">
        <w:rPr>
          <w:b/>
          <w:color w:val="000000"/>
        </w:rPr>
        <w:t xml:space="preserve"> РЗЭ при экстракции</w:t>
      </w:r>
      <w:r w:rsidR="002615E5" w:rsidRPr="002615E5">
        <w:rPr>
          <w:b/>
          <w:color w:val="000000"/>
        </w:rPr>
        <w:t xml:space="preserve"> </w:t>
      </w:r>
      <w:r>
        <w:rPr>
          <w:b/>
          <w:color w:val="000000"/>
        </w:rPr>
        <w:t>растворами</w:t>
      </w:r>
      <w:r w:rsidRPr="00122824">
        <w:rPr>
          <w:b/>
          <w:bCs/>
          <w:color w:val="000000"/>
        </w:rPr>
        <w:t xml:space="preserve"> </w:t>
      </w:r>
      <w:r w:rsidR="00122824" w:rsidRPr="00122824">
        <w:rPr>
          <w:b/>
          <w:bCs/>
          <w:szCs w:val="28"/>
        </w:rPr>
        <w:t>моно-2-этилгексилового эфира 2-этилгексилфосфоновой кислоты в гексане</w:t>
      </w:r>
    </w:p>
    <w:p w14:paraId="149C37A8" w14:textId="77777777" w:rsidR="00130241" w:rsidRPr="00220122" w:rsidRDefault="00B638D4">
      <w:pPr>
        <w:pBdr>
          <w:top w:val="nil"/>
          <w:left w:val="nil"/>
          <w:bottom w:val="nil"/>
          <w:right w:val="nil"/>
          <w:between w:val="nil"/>
        </w:pBdr>
        <w:shd w:val="clear" w:color="auto" w:fill="FFFFFF"/>
        <w:jc w:val="center"/>
        <w:rPr>
          <w:color w:val="000000"/>
        </w:rPr>
      </w:pPr>
      <w:r>
        <w:rPr>
          <w:b/>
          <w:i/>
          <w:color w:val="000000"/>
        </w:rPr>
        <w:t>Горбачев Н.С.,</w:t>
      </w:r>
      <w:r>
        <w:rPr>
          <w:b/>
          <w:i/>
          <w:color w:val="000000"/>
          <w:vertAlign w:val="superscript"/>
        </w:rPr>
        <w:t>1</w:t>
      </w:r>
      <w:r w:rsidR="00220122">
        <w:rPr>
          <w:b/>
          <w:i/>
          <w:color w:val="000000"/>
          <w:vertAlign w:val="superscript"/>
        </w:rPr>
        <w:t xml:space="preserve"> </w:t>
      </w:r>
      <w:r w:rsidR="0018539B">
        <w:rPr>
          <w:b/>
          <w:i/>
          <w:color w:val="000000"/>
        </w:rPr>
        <w:t>Бобровская К.С.</w:t>
      </w:r>
      <w:r w:rsidR="0018539B" w:rsidRPr="0018539B">
        <w:rPr>
          <w:b/>
          <w:i/>
          <w:color w:val="000000"/>
          <w:vertAlign w:val="superscript"/>
        </w:rPr>
        <w:t>1,2</w:t>
      </w:r>
      <w:r w:rsidR="006E7521" w:rsidRPr="006E7521">
        <w:rPr>
          <w:b/>
          <w:i/>
          <w:color w:val="000000"/>
        </w:rPr>
        <w:t xml:space="preserve">, </w:t>
      </w:r>
      <w:r w:rsidR="006E7521">
        <w:rPr>
          <w:b/>
          <w:i/>
          <w:color w:val="000000"/>
        </w:rPr>
        <w:t>Кузнецов Р.А.</w:t>
      </w:r>
      <w:r w:rsidR="006E7521" w:rsidRPr="0018539B">
        <w:rPr>
          <w:b/>
          <w:i/>
          <w:color w:val="000000"/>
          <w:vertAlign w:val="superscript"/>
        </w:rPr>
        <w:t>2</w:t>
      </w:r>
    </w:p>
    <w:p w14:paraId="480FDA62" w14:textId="77777777"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B638D4">
        <w:rPr>
          <w:i/>
          <w:color w:val="000000"/>
        </w:rPr>
        <w:t>5</w:t>
      </w:r>
      <w:r>
        <w:rPr>
          <w:i/>
          <w:color w:val="000000"/>
        </w:rPr>
        <w:t xml:space="preserve"> курс специалитета</w:t>
      </w:r>
    </w:p>
    <w:p w14:paraId="2339BDD7" w14:textId="77777777" w:rsidR="00B638D4" w:rsidRDefault="00EB1F49" w:rsidP="009A38A6">
      <w:pPr>
        <w:pBdr>
          <w:top w:val="nil"/>
          <w:left w:val="nil"/>
          <w:bottom w:val="nil"/>
          <w:right w:val="nil"/>
          <w:between w:val="nil"/>
        </w:pBdr>
        <w:shd w:val="clear" w:color="auto" w:fill="FFFFFF"/>
        <w:jc w:val="center"/>
        <w:rPr>
          <w:i/>
          <w:color w:val="000000"/>
        </w:rPr>
      </w:pPr>
      <w:r>
        <w:rPr>
          <w:i/>
          <w:color w:val="000000"/>
          <w:vertAlign w:val="superscript"/>
        </w:rPr>
        <w:t>1</w:t>
      </w:r>
      <w:r w:rsidR="00B638D4">
        <w:rPr>
          <w:i/>
          <w:color w:val="000000"/>
        </w:rPr>
        <w:t>Д</w:t>
      </w:r>
      <w:r w:rsidR="009A38A6">
        <w:rPr>
          <w:i/>
          <w:color w:val="000000"/>
        </w:rPr>
        <w:t>ИТИ</w:t>
      </w:r>
      <w:r w:rsidR="00B638D4">
        <w:rPr>
          <w:i/>
          <w:color w:val="000000"/>
        </w:rPr>
        <w:t xml:space="preserve"> НИЯУ МИФИ,</w:t>
      </w:r>
      <w:r w:rsidR="009A38A6">
        <w:rPr>
          <w:i/>
          <w:color w:val="000000"/>
        </w:rPr>
        <w:t xml:space="preserve"> </w:t>
      </w:r>
      <w:r w:rsidR="00B638D4">
        <w:rPr>
          <w:i/>
          <w:color w:val="000000"/>
        </w:rPr>
        <w:t>Димитровград, Россия</w:t>
      </w:r>
    </w:p>
    <w:p w14:paraId="7934AB95" w14:textId="77777777" w:rsidR="0018539B" w:rsidRPr="009A38A6" w:rsidRDefault="009A38A6" w:rsidP="00B638D4">
      <w:pPr>
        <w:pBdr>
          <w:top w:val="nil"/>
          <w:left w:val="nil"/>
          <w:bottom w:val="nil"/>
          <w:right w:val="nil"/>
          <w:between w:val="nil"/>
        </w:pBdr>
        <w:shd w:val="clear" w:color="auto" w:fill="FFFFFF"/>
        <w:jc w:val="center"/>
        <w:rPr>
          <w:i/>
          <w:iCs/>
          <w:color w:val="000000"/>
        </w:rPr>
      </w:pPr>
      <w:r w:rsidRPr="009A38A6">
        <w:rPr>
          <w:i/>
          <w:iCs/>
          <w:color w:val="000000"/>
          <w:vertAlign w:val="superscript"/>
        </w:rPr>
        <w:t>2</w:t>
      </w:r>
      <w:r w:rsidR="00C9138A" w:rsidRPr="009A38A6">
        <w:rPr>
          <w:i/>
          <w:iCs/>
          <w:color w:val="000000"/>
        </w:rPr>
        <w:t>НИТИ им. С.П. Капицы УлГУ, г. Ульяновск,</w:t>
      </w:r>
      <w:r w:rsidRPr="009A38A6">
        <w:rPr>
          <w:i/>
          <w:iCs/>
          <w:color w:val="000000"/>
        </w:rPr>
        <w:t xml:space="preserve"> Россия</w:t>
      </w:r>
    </w:p>
    <w:p w14:paraId="74A76218" w14:textId="77777777" w:rsidR="000174CF" w:rsidRDefault="00EB1F49" w:rsidP="000174CF">
      <w:pPr>
        <w:pBdr>
          <w:top w:val="nil"/>
          <w:left w:val="nil"/>
          <w:bottom w:val="nil"/>
          <w:right w:val="nil"/>
          <w:between w:val="nil"/>
        </w:pBdr>
        <w:shd w:val="clear" w:color="auto" w:fill="FFFFFF"/>
        <w:jc w:val="center"/>
        <w:rPr>
          <w:rStyle w:val="a9"/>
          <w:i/>
          <w:iCs/>
          <w:color w:val="000000" w:themeColor="text1"/>
          <w:lang w:val="en-US"/>
        </w:rPr>
      </w:pPr>
      <w:r w:rsidRPr="000174CF">
        <w:rPr>
          <w:i/>
          <w:color w:val="000000"/>
          <w:lang w:val="en-US"/>
        </w:rPr>
        <w:t>E</w:t>
      </w:r>
      <w:r w:rsidR="003B76D6" w:rsidRPr="00C9138A">
        <w:rPr>
          <w:i/>
          <w:color w:val="000000"/>
          <w:lang w:val="en-US"/>
        </w:rPr>
        <w:t>-</w:t>
      </w:r>
      <w:r w:rsidRPr="000174CF">
        <w:rPr>
          <w:i/>
          <w:color w:val="000000"/>
          <w:lang w:val="en-US"/>
        </w:rPr>
        <w:t>mail</w:t>
      </w:r>
      <w:r w:rsidRPr="00C9138A">
        <w:rPr>
          <w:i/>
          <w:color w:val="000000"/>
          <w:lang w:val="en-US"/>
        </w:rPr>
        <w:t xml:space="preserve">: </w:t>
      </w:r>
      <w:hyperlink r:id="rId6" w:history="1">
        <w:r w:rsidR="000174CF" w:rsidRPr="00BC20F4">
          <w:rPr>
            <w:rStyle w:val="a9"/>
            <w:i/>
            <w:iCs/>
            <w:color w:val="000000" w:themeColor="text1"/>
            <w:lang w:val="en-US"/>
          </w:rPr>
          <w:t>n-gorbachev@bk.ru</w:t>
        </w:r>
      </w:hyperlink>
    </w:p>
    <w:p w14:paraId="546B335F" w14:textId="77777777" w:rsidR="006E7521" w:rsidRPr="00D80614" w:rsidRDefault="006E7521" w:rsidP="006E7521">
      <w:pPr>
        <w:pBdr>
          <w:top w:val="nil"/>
          <w:left w:val="nil"/>
          <w:bottom w:val="nil"/>
          <w:right w:val="nil"/>
          <w:between w:val="nil"/>
        </w:pBdr>
        <w:shd w:val="clear" w:color="auto" w:fill="FFFFFF"/>
        <w:ind w:firstLine="397"/>
        <w:contextualSpacing/>
        <w:jc w:val="both"/>
        <w:rPr>
          <w:color w:val="000000"/>
        </w:rPr>
      </w:pPr>
      <w:r>
        <w:rPr>
          <w:color w:val="000000"/>
        </w:rPr>
        <w:t xml:space="preserve">Процедура определения коэффициентов распределения элементов, </w:t>
      </w:r>
      <w:r w:rsidRPr="006E7521">
        <w:rPr>
          <w:i/>
          <w:iCs/>
          <w:color w:val="000000"/>
          <w:lang w:val="en-US"/>
        </w:rPr>
        <w:t>D</w:t>
      </w:r>
      <w:r>
        <w:rPr>
          <w:color w:val="000000"/>
        </w:rPr>
        <w:t>, при экстракции органическими растворителями предполагает определение равновесного содержания распределяемого компонента в водной</w:t>
      </w:r>
      <w:r w:rsidRPr="00CA416B">
        <w:rPr>
          <w:color w:val="000000"/>
        </w:rPr>
        <w:t>/</w:t>
      </w:r>
      <w:r>
        <w:rPr>
          <w:color w:val="000000"/>
        </w:rPr>
        <w:t>органической фазе. При этом точность определения равновесного содержания</w:t>
      </w:r>
      <w:r w:rsidRPr="0080220D">
        <w:rPr>
          <w:color w:val="000000"/>
        </w:rPr>
        <w:t xml:space="preserve"> </w:t>
      </w:r>
      <w:r>
        <w:rPr>
          <w:color w:val="000000"/>
        </w:rPr>
        <w:t xml:space="preserve">элемента в водной фазе существенно влияет на точность определения </w:t>
      </w:r>
      <w:r w:rsidRPr="007036E9">
        <w:rPr>
          <w:i/>
          <w:color w:val="000000"/>
          <w:lang w:val="en-US"/>
        </w:rPr>
        <w:t>D</w:t>
      </w:r>
      <w:r w:rsidRPr="00CA416B">
        <w:rPr>
          <w:color w:val="000000"/>
        </w:rPr>
        <w:t xml:space="preserve"> </w:t>
      </w:r>
      <w:r>
        <w:rPr>
          <w:color w:val="000000"/>
        </w:rPr>
        <w:t>и напрямую зависит от эффективности удаления органической фазы из водной.</w:t>
      </w:r>
      <w:r w:rsidRPr="0080220D">
        <w:rPr>
          <w:color w:val="000000"/>
        </w:rPr>
        <w:t xml:space="preserve"> </w:t>
      </w:r>
      <w:r>
        <w:rPr>
          <w:color w:val="000000"/>
        </w:rPr>
        <w:t xml:space="preserve">Целью данной работы являлась отработка методики определения коэффициентов распределения иттербия при экстракции растворами моно-2-этилгексилового эфира 2-этилгексилфосфоновой кислоты </w:t>
      </w:r>
      <w:r w:rsidRPr="0086158F">
        <w:rPr>
          <w:color w:val="000000"/>
        </w:rPr>
        <w:t>(</w:t>
      </w:r>
      <w:r>
        <w:rPr>
          <w:lang w:val="en-US"/>
        </w:rPr>
        <w:t>HEH</w:t>
      </w:r>
      <w:r w:rsidRPr="00C27278">
        <w:t>[</w:t>
      </w:r>
      <w:r>
        <w:rPr>
          <w:lang w:val="en-US"/>
        </w:rPr>
        <w:t>EHP</w:t>
      </w:r>
      <w:r w:rsidRPr="00C27278">
        <w:t>]</w:t>
      </w:r>
      <w:r w:rsidRPr="0086158F">
        <w:t>)</w:t>
      </w:r>
      <w:r>
        <w:rPr>
          <w:color w:val="000000"/>
        </w:rPr>
        <w:t xml:space="preserve"> в гексане, обеспечивающей определение параметра </w:t>
      </w:r>
      <w:r w:rsidRPr="007036E9">
        <w:rPr>
          <w:i/>
          <w:color w:val="000000"/>
          <w:lang w:val="en-US"/>
        </w:rPr>
        <w:t>D</w:t>
      </w:r>
      <w:r>
        <w:rPr>
          <w:color w:val="000000"/>
        </w:rPr>
        <w:t xml:space="preserve"> с минимальной погрешностью. </w:t>
      </w:r>
      <w:r w:rsidR="00D80614">
        <w:rPr>
          <w:color w:val="000000"/>
        </w:rPr>
        <w:t xml:space="preserve">Данное исследование проводилось в рамках работы по созданию способа выделения радионуклида </w:t>
      </w:r>
      <w:r w:rsidR="00D80614" w:rsidRPr="00D80614">
        <w:rPr>
          <w:color w:val="000000"/>
          <w:vertAlign w:val="superscript"/>
        </w:rPr>
        <w:t>177</w:t>
      </w:r>
      <w:r w:rsidR="00D80614">
        <w:rPr>
          <w:color w:val="000000"/>
          <w:lang w:val="en-US"/>
        </w:rPr>
        <w:t>Lu</w:t>
      </w:r>
      <w:r w:rsidR="00D80614">
        <w:rPr>
          <w:color w:val="000000"/>
        </w:rPr>
        <w:t xml:space="preserve"> из облученной иттербиевой мишени.</w:t>
      </w:r>
    </w:p>
    <w:p w14:paraId="2F9E98B5" w14:textId="77777777" w:rsidR="006E7521" w:rsidRDefault="006E7521" w:rsidP="006E7521">
      <w:pPr>
        <w:pBdr>
          <w:top w:val="nil"/>
          <w:left w:val="nil"/>
          <w:bottom w:val="nil"/>
          <w:right w:val="nil"/>
          <w:between w:val="nil"/>
        </w:pBdr>
        <w:shd w:val="clear" w:color="auto" w:fill="FFFFFF"/>
        <w:ind w:firstLine="397"/>
        <w:contextualSpacing/>
        <w:jc w:val="both"/>
        <w:rPr>
          <w:color w:val="000000"/>
        </w:rPr>
      </w:pPr>
      <w:r>
        <w:rPr>
          <w:color w:val="000000"/>
        </w:rPr>
        <w:t>Эксперименты проводились при концентрации экстрагента в диапазоне 0</w:t>
      </w:r>
      <w:r w:rsidR="00DE3AA8">
        <w:rPr>
          <w:color w:val="000000"/>
        </w:rPr>
        <w:t>.</w:t>
      </w:r>
      <w:r>
        <w:rPr>
          <w:color w:val="000000"/>
        </w:rPr>
        <w:t>5–2</w:t>
      </w:r>
      <w:r w:rsidR="00DE3AA8">
        <w:rPr>
          <w:color w:val="000000"/>
        </w:rPr>
        <w:t>.</w:t>
      </w:r>
      <w:r>
        <w:rPr>
          <w:color w:val="000000"/>
        </w:rPr>
        <w:t>0</w:t>
      </w:r>
      <w:r w:rsidR="007D57BC">
        <w:rPr>
          <w:color w:val="000000"/>
          <w:lang w:val="en-US"/>
        </w:rPr>
        <w:t> </w:t>
      </w:r>
      <w:r>
        <w:rPr>
          <w:color w:val="000000"/>
        </w:rPr>
        <w:t>моль</w:t>
      </w:r>
      <w:r w:rsidRPr="00C51177">
        <w:rPr>
          <w:color w:val="000000"/>
        </w:rPr>
        <w:t>/</w:t>
      </w:r>
      <w:r>
        <w:rPr>
          <w:color w:val="000000"/>
        </w:rPr>
        <w:t>л, кислотности водной фазы 0</w:t>
      </w:r>
      <w:r w:rsidR="00DE3AA8">
        <w:rPr>
          <w:color w:val="000000"/>
        </w:rPr>
        <w:t>.</w:t>
      </w:r>
      <w:r>
        <w:rPr>
          <w:color w:val="000000"/>
        </w:rPr>
        <w:t>5–2</w:t>
      </w:r>
      <w:r w:rsidR="00DE3AA8">
        <w:rPr>
          <w:color w:val="000000"/>
        </w:rPr>
        <w:t>.</w:t>
      </w:r>
      <w:r>
        <w:rPr>
          <w:color w:val="000000"/>
        </w:rPr>
        <w:t>0</w:t>
      </w:r>
      <w:r w:rsidR="007D57BC">
        <w:rPr>
          <w:color w:val="000000"/>
          <w:lang w:val="en-US"/>
        </w:rPr>
        <w:t> </w:t>
      </w:r>
      <w:r>
        <w:rPr>
          <w:color w:val="000000"/>
        </w:rPr>
        <w:t>моль</w:t>
      </w:r>
      <w:r w:rsidRPr="00C51177">
        <w:rPr>
          <w:color w:val="000000"/>
        </w:rPr>
        <w:t>/</w:t>
      </w:r>
      <w:r>
        <w:rPr>
          <w:color w:val="000000"/>
        </w:rPr>
        <w:t>л и начально</w:t>
      </w:r>
      <w:r w:rsidR="00B92096">
        <w:rPr>
          <w:color w:val="000000"/>
        </w:rPr>
        <w:t>й</w:t>
      </w:r>
      <w:r>
        <w:rPr>
          <w:color w:val="000000"/>
        </w:rPr>
        <w:t xml:space="preserve"> </w:t>
      </w:r>
      <w:r w:rsidR="00B92096">
        <w:rPr>
          <w:color w:val="000000"/>
        </w:rPr>
        <w:t>концентрации иттербия в водной фазе 0</w:t>
      </w:r>
      <w:r w:rsidR="00DE3AA8">
        <w:rPr>
          <w:color w:val="000000"/>
        </w:rPr>
        <w:t>.</w:t>
      </w:r>
      <w:r w:rsidR="00B92096">
        <w:rPr>
          <w:color w:val="000000"/>
        </w:rPr>
        <w:t>1–</w:t>
      </w:r>
      <w:r>
        <w:rPr>
          <w:color w:val="000000"/>
        </w:rPr>
        <w:t>5</w:t>
      </w:r>
      <w:r w:rsidR="00DE3AA8">
        <w:rPr>
          <w:color w:val="000000"/>
        </w:rPr>
        <w:t>.0</w:t>
      </w:r>
      <w:r w:rsidR="007D57BC">
        <w:rPr>
          <w:color w:val="000000"/>
          <w:lang w:val="en-US"/>
        </w:rPr>
        <w:t> </w:t>
      </w:r>
      <w:r>
        <w:rPr>
          <w:color w:val="000000"/>
        </w:rPr>
        <w:t>г</w:t>
      </w:r>
      <w:r w:rsidRPr="00C51177">
        <w:rPr>
          <w:color w:val="000000"/>
        </w:rPr>
        <w:t>/</w:t>
      </w:r>
      <w:r>
        <w:rPr>
          <w:color w:val="000000"/>
        </w:rPr>
        <w:t xml:space="preserve">л. Отношение объемов </w:t>
      </w:r>
      <w:r w:rsidR="00B92096">
        <w:rPr>
          <w:color w:val="000000"/>
        </w:rPr>
        <w:t xml:space="preserve">органической </w:t>
      </w:r>
      <w:r>
        <w:rPr>
          <w:color w:val="000000"/>
        </w:rPr>
        <w:t xml:space="preserve">и </w:t>
      </w:r>
      <w:r w:rsidR="00B92096">
        <w:rPr>
          <w:color w:val="000000"/>
        </w:rPr>
        <w:t xml:space="preserve">водной </w:t>
      </w:r>
      <w:r>
        <w:rPr>
          <w:color w:val="000000"/>
        </w:rPr>
        <w:t xml:space="preserve">фаз составляло 1:5, время установления равновесия </w:t>
      </w:r>
      <w:r w:rsidR="00B92096">
        <w:rPr>
          <w:color w:val="000000"/>
        </w:rPr>
        <w:t>1 час</w:t>
      </w:r>
      <w:r>
        <w:rPr>
          <w:color w:val="000000"/>
        </w:rPr>
        <w:t xml:space="preserve">. </w:t>
      </w:r>
      <w:r>
        <w:t xml:space="preserve">При отработке методики определения </w:t>
      </w:r>
      <w:r w:rsidRPr="007036E9">
        <w:rPr>
          <w:i/>
          <w:lang w:val="en-US"/>
        </w:rPr>
        <w:t>D</w:t>
      </w:r>
      <w:r>
        <w:t xml:space="preserve"> применяли «стандартную» процедуру разделения фаз </w:t>
      </w:r>
      <w:r w:rsidR="00E3604F">
        <w:rPr>
          <w:color w:val="000000"/>
        </w:rPr>
        <w:t>—</w:t>
      </w:r>
      <w:r>
        <w:t xml:space="preserve"> центрифугировани</w:t>
      </w:r>
      <w:r w:rsidR="00B92096">
        <w:t>е</w:t>
      </w:r>
      <w:r>
        <w:t xml:space="preserve">, которая была дополнена процедурой промывки водной фазы гексаном после отделения основной </w:t>
      </w:r>
      <w:r w:rsidR="00B92096">
        <w:t>части</w:t>
      </w:r>
      <w:r>
        <w:t xml:space="preserve"> органической фазы. </w:t>
      </w:r>
    </w:p>
    <w:p w14:paraId="72551F62" w14:textId="261BB3B0" w:rsidR="006E7521" w:rsidRDefault="006E7521" w:rsidP="006E7521">
      <w:pPr>
        <w:pBdr>
          <w:top w:val="nil"/>
          <w:left w:val="nil"/>
          <w:bottom w:val="nil"/>
          <w:right w:val="nil"/>
          <w:between w:val="nil"/>
        </w:pBdr>
        <w:shd w:val="clear" w:color="auto" w:fill="FFFFFF"/>
        <w:ind w:firstLine="397"/>
        <w:contextualSpacing/>
        <w:jc w:val="both"/>
        <w:rPr>
          <w:color w:val="000000"/>
        </w:rPr>
      </w:pPr>
      <w:r>
        <w:rPr>
          <w:color w:val="000000"/>
        </w:rPr>
        <w:t xml:space="preserve">Определение концентрации иттербия в равновесной водной фазе проводили методом </w:t>
      </w:r>
      <w:r w:rsidRPr="007036E9">
        <w:rPr>
          <w:color w:val="000000"/>
        </w:rPr>
        <w:t xml:space="preserve">атомно-эмиссионного анализа с индукционно-связанной фазой с использованием спектрометра </w:t>
      </w:r>
      <w:r w:rsidR="00B92096" w:rsidRPr="007036E9">
        <w:rPr>
          <w:lang w:val="en-US"/>
        </w:rPr>
        <w:t>Agilent</w:t>
      </w:r>
      <w:r w:rsidR="00B92096" w:rsidRPr="007036E9">
        <w:t xml:space="preserve"> 5800</w:t>
      </w:r>
      <w:r w:rsidRPr="007036E9">
        <w:rPr>
          <w:color w:val="000000"/>
        </w:rPr>
        <w:t>.</w:t>
      </w:r>
      <w:r w:rsidR="00D80614" w:rsidRPr="007036E9">
        <w:rPr>
          <w:color w:val="000000"/>
        </w:rPr>
        <w:t xml:space="preserve"> </w:t>
      </w:r>
      <w:r w:rsidR="00604766" w:rsidRPr="007036E9">
        <w:rPr>
          <w:color w:val="000000"/>
        </w:rPr>
        <w:t>А</w:t>
      </w:r>
      <w:r w:rsidRPr="007036E9">
        <w:rPr>
          <w:color w:val="000000"/>
        </w:rPr>
        <w:t>бсолютн</w:t>
      </w:r>
      <w:r w:rsidR="00604766" w:rsidRPr="007036E9">
        <w:rPr>
          <w:color w:val="000000"/>
        </w:rPr>
        <w:t>ая</w:t>
      </w:r>
      <w:r w:rsidRPr="007036E9">
        <w:rPr>
          <w:color w:val="000000"/>
        </w:rPr>
        <w:t xml:space="preserve"> случайн</w:t>
      </w:r>
      <w:r w:rsidR="00604766" w:rsidRPr="007036E9">
        <w:rPr>
          <w:color w:val="000000"/>
        </w:rPr>
        <w:t>ая</w:t>
      </w:r>
      <w:r w:rsidRPr="007036E9">
        <w:rPr>
          <w:color w:val="000000"/>
        </w:rPr>
        <w:t xml:space="preserve"> погрешност</w:t>
      </w:r>
      <w:r w:rsidR="00604766" w:rsidRPr="007036E9">
        <w:rPr>
          <w:color w:val="000000"/>
        </w:rPr>
        <w:t>ь</w:t>
      </w:r>
      <w:r w:rsidRPr="007036E9">
        <w:rPr>
          <w:color w:val="000000"/>
        </w:rPr>
        <w:t xml:space="preserve"> определения</w:t>
      </w:r>
      <w:r>
        <w:rPr>
          <w:color w:val="000000"/>
        </w:rPr>
        <w:t xml:space="preserve"> коэффициентов распределения иттербия, </w:t>
      </w:r>
      <m:oMath>
        <m:r>
          <w:rPr>
            <w:rFonts w:ascii="Cambria Math" w:hAnsi="Cambria Math"/>
            <w:lang w:val="en-US"/>
          </w:rPr>
          <m:t>ΔD</m:t>
        </m:r>
      </m:oMath>
      <w:r w:rsidR="00604766">
        <w:t xml:space="preserve"> вычислялась по </w:t>
      </w:r>
      <w:r w:rsidR="009D62AB">
        <w:t>формуле:</w:t>
      </w:r>
    </w:p>
    <w:p w14:paraId="46A1E551" w14:textId="77777777" w:rsidR="006E7521" w:rsidRDefault="006E7521" w:rsidP="00E6351A">
      <w:pPr>
        <w:pBdr>
          <w:top w:val="nil"/>
          <w:left w:val="nil"/>
          <w:bottom w:val="nil"/>
          <w:right w:val="nil"/>
          <w:between w:val="nil"/>
        </w:pBdr>
        <w:shd w:val="clear" w:color="auto" w:fill="FFFFFF"/>
        <w:tabs>
          <w:tab w:val="center" w:pos="4592"/>
          <w:tab w:val="right" w:pos="9214"/>
        </w:tabs>
        <w:contextualSpacing/>
        <w:jc w:val="center"/>
        <w:rPr>
          <w:iCs/>
        </w:rPr>
      </w:pPr>
      <m:oMath>
        <m:r>
          <w:rPr>
            <w:rFonts w:ascii="Cambria Math" w:hAnsi="Cambria Math"/>
            <w:lang w:val="en-US"/>
          </w:rPr>
          <m:t>ΔD</m:t>
        </m:r>
        <m:r>
          <w:rPr>
            <w:rFonts w:ascii="Cambria Math" w:hAnsi="Cambria Math"/>
          </w:rPr>
          <m:t>=±</m:t>
        </m:r>
        <m:f>
          <m:fPr>
            <m:ctrlPr>
              <w:rPr>
                <w:rFonts w:ascii="Cambria Math" w:hAnsi="Cambria Math"/>
                <w:i/>
                <w:iCs/>
                <w:lang w:val="en-US"/>
              </w:rPr>
            </m:ctrlPr>
          </m:fPr>
          <m:num>
            <m:sSub>
              <m:sSubPr>
                <m:ctrlPr>
                  <w:rPr>
                    <w:rFonts w:ascii="Cambria Math" w:hAnsi="Cambria Math"/>
                    <w:i/>
                    <w:iCs/>
                  </w:rPr>
                </m:ctrlPr>
              </m:sSubPr>
              <m:e>
                <m:r>
                  <w:rPr>
                    <w:rFonts w:ascii="Cambria Math" w:hAnsi="Cambria Math"/>
                  </w:rPr>
                  <m:t>C</m:t>
                </m:r>
              </m:e>
              <m:sub>
                <m:r>
                  <w:rPr>
                    <w:rFonts w:ascii="Cambria Math" w:hAnsi="Cambria Math"/>
                  </w:rPr>
                  <m:t>н</m:t>
                </m:r>
              </m:sub>
            </m:sSub>
            <m:r>
              <w:rPr>
                <w:rFonts w:ascii="Cambria Math" w:hAnsi="Cambria Math"/>
              </w:rPr>
              <m:t>∙</m:t>
            </m:r>
            <m:sSub>
              <m:sSubPr>
                <m:ctrlPr>
                  <w:rPr>
                    <w:rFonts w:ascii="Cambria Math" w:hAnsi="Cambria Math"/>
                    <w:i/>
                    <w:iCs/>
                    <w:lang w:val="en-US"/>
                  </w:rPr>
                </m:ctrlPr>
              </m:sSubPr>
              <m:e>
                <m:r>
                  <w:rPr>
                    <w:rFonts w:ascii="Cambria Math" w:hAnsi="Cambria Math"/>
                    <w:lang w:val="en-US"/>
                  </w:rPr>
                  <m:t>V</m:t>
                </m:r>
              </m:e>
              <m:sub>
                <m:r>
                  <w:rPr>
                    <w:rFonts w:ascii="Cambria Math" w:hAnsi="Cambria Math"/>
                  </w:rPr>
                  <m:t>в</m:t>
                </m:r>
              </m:sub>
            </m:sSub>
          </m:num>
          <m:den>
            <m:sSup>
              <m:sSupPr>
                <m:ctrlPr>
                  <w:rPr>
                    <w:rFonts w:ascii="Cambria Math" w:hAnsi="Cambria Math"/>
                    <w:i/>
                    <w:iCs/>
                  </w:rPr>
                </m:ctrlPr>
              </m:sSupPr>
              <m:e>
                <m:sSub>
                  <m:sSubPr>
                    <m:ctrlPr>
                      <w:rPr>
                        <w:rFonts w:ascii="Cambria Math" w:hAnsi="Cambria Math"/>
                        <w:i/>
                        <w:iCs/>
                      </w:rPr>
                    </m:ctrlPr>
                  </m:sSubPr>
                  <m:e>
                    <m:r>
                      <w:rPr>
                        <w:rFonts w:ascii="Cambria Math" w:hAnsi="Cambria Math"/>
                      </w:rPr>
                      <m:t>C</m:t>
                    </m:r>
                  </m:e>
                  <m:sub>
                    <m:r>
                      <w:rPr>
                        <w:rFonts w:ascii="Cambria Math" w:hAnsi="Cambria Math"/>
                      </w:rPr>
                      <m:t>в</m:t>
                    </m:r>
                  </m:sub>
                </m:sSub>
              </m:e>
              <m:sup>
                <m:r>
                  <w:rPr>
                    <w:rFonts w:ascii="Cambria Math" w:hAnsi="Cambria Math"/>
                  </w:rPr>
                  <m:t>2</m:t>
                </m:r>
              </m:sup>
            </m:sSup>
            <m:r>
              <w:rPr>
                <w:rFonts w:ascii="Cambria Math" w:hAnsi="Cambria Math"/>
              </w:rPr>
              <m:t>∙</m:t>
            </m:r>
            <m:sSub>
              <m:sSubPr>
                <m:ctrlPr>
                  <w:rPr>
                    <w:rFonts w:ascii="Cambria Math" w:hAnsi="Cambria Math"/>
                    <w:i/>
                    <w:iCs/>
                    <w:lang w:val="en-US"/>
                  </w:rPr>
                </m:ctrlPr>
              </m:sSubPr>
              <m:e>
                <m:r>
                  <w:rPr>
                    <w:rFonts w:ascii="Cambria Math" w:hAnsi="Cambria Math"/>
                    <w:lang w:val="en-US"/>
                  </w:rPr>
                  <m:t>V</m:t>
                </m:r>
              </m:e>
              <m:sub>
                <m:r>
                  <w:rPr>
                    <w:rFonts w:ascii="Cambria Math" w:hAnsi="Cambria Math"/>
                  </w:rPr>
                  <m:t>о</m:t>
                </m:r>
              </m:sub>
            </m:sSub>
          </m:den>
        </m:f>
        <m:r>
          <w:rPr>
            <w:rFonts w:ascii="Cambria Math" w:hAnsi="Cambria Math" w:cs="Cambria Math"/>
            <w:noProof/>
          </w:rPr>
          <m:t>⋅</m:t>
        </m:r>
        <m:r>
          <w:rPr>
            <w:rFonts w:ascii="Cambria Math" w:hAnsi="Cambria Math"/>
            <w:lang w:val="en-US"/>
          </w:rPr>
          <m:t>Δ</m:t>
        </m:r>
        <m:sSub>
          <m:sSubPr>
            <m:ctrlPr>
              <w:rPr>
                <w:rFonts w:ascii="Cambria Math" w:hAnsi="Cambria Math"/>
                <w:i/>
                <w:iCs/>
              </w:rPr>
            </m:ctrlPr>
          </m:sSubPr>
          <m:e>
            <m:r>
              <w:rPr>
                <w:rFonts w:ascii="Cambria Math" w:hAnsi="Cambria Math"/>
              </w:rPr>
              <m:t>C</m:t>
            </m:r>
          </m:e>
          <m:sub>
            <m:r>
              <w:rPr>
                <w:rFonts w:ascii="Cambria Math" w:hAnsi="Cambria Math"/>
              </w:rPr>
              <m:t>в</m:t>
            </m:r>
          </m:sub>
        </m:sSub>
      </m:oMath>
      <w:r w:rsidR="009D62AB">
        <w:rPr>
          <w:iCs/>
        </w:rPr>
        <w:t xml:space="preserve"> </w:t>
      </w:r>
    </w:p>
    <w:p w14:paraId="4BE731DC" w14:textId="77777777" w:rsidR="006E7521" w:rsidRPr="00E6351A" w:rsidRDefault="009D62AB" w:rsidP="00E6351A">
      <w:pPr>
        <w:pBdr>
          <w:top w:val="nil"/>
          <w:left w:val="nil"/>
          <w:bottom w:val="nil"/>
          <w:right w:val="nil"/>
          <w:between w:val="nil"/>
        </w:pBdr>
        <w:shd w:val="clear" w:color="auto" w:fill="FFFFFF"/>
        <w:contextualSpacing/>
        <w:jc w:val="both"/>
        <w:rPr>
          <w:color w:val="000000"/>
        </w:rPr>
      </w:pPr>
      <w:r>
        <w:rPr>
          <w:color w:val="000000"/>
        </w:rPr>
        <w:t xml:space="preserve">где </w:t>
      </w:r>
      <m:oMath>
        <m:sSub>
          <m:sSubPr>
            <m:ctrlPr>
              <w:rPr>
                <w:rFonts w:ascii="Cambria Math" w:hAnsi="Cambria Math"/>
                <w:i/>
              </w:rPr>
            </m:ctrlPr>
          </m:sSubPr>
          <m:e>
            <m:r>
              <w:rPr>
                <w:rFonts w:ascii="Cambria Math" w:hAnsi="Cambria Math"/>
              </w:rPr>
              <m:t>C</m:t>
            </m:r>
          </m:e>
          <m:sub>
            <m:r>
              <w:rPr>
                <w:rFonts w:ascii="Cambria Math" w:hAnsi="Cambria Math"/>
              </w:rPr>
              <m:t>н</m:t>
            </m:r>
          </m:sub>
        </m:sSub>
      </m:oMath>
      <w:r w:rsidR="007036E9" w:rsidRPr="007036E9">
        <w:rPr>
          <w:rFonts w:eastAsiaTheme="minorEastAsia"/>
        </w:rPr>
        <w:t xml:space="preserve">, </w:t>
      </w:r>
      <m:oMath>
        <m:sSub>
          <m:sSubPr>
            <m:ctrlPr>
              <w:rPr>
                <w:rFonts w:ascii="Cambria Math" w:hAnsi="Cambria Math"/>
                <w:i/>
              </w:rPr>
            </m:ctrlPr>
          </m:sSubPr>
          <m:e>
            <m:r>
              <w:rPr>
                <w:rFonts w:ascii="Cambria Math" w:hAnsi="Cambria Math"/>
              </w:rPr>
              <m:t>C</m:t>
            </m:r>
          </m:e>
          <m:sub>
            <m:r>
              <w:rPr>
                <w:rFonts w:ascii="Cambria Math" w:hAnsi="Cambria Math"/>
              </w:rPr>
              <m:t>в</m:t>
            </m:r>
          </m:sub>
        </m:sSub>
      </m:oMath>
      <w:r w:rsidR="007036E9" w:rsidRPr="007036E9">
        <w:rPr>
          <w:rFonts w:eastAsiaTheme="minorEastAsia"/>
        </w:rPr>
        <w:t xml:space="preserve">, </w:t>
      </w:r>
      <w:r w:rsidR="00E3604F">
        <w:rPr>
          <w:color w:val="000000"/>
        </w:rPr>
        <w:t>—</w:t>
      </w:r>
      <w:r w:rsidRPr="007962FF">
        <w:rPr>
          <w:rFonts w:eastAsiaTheme="minorEastAsia"/>
        </w:rPr>
        <w:t xml:space="preserve"> </w:t>
      </w:r>
      <w:r>
        <w:rPr>
          <w:rFonts w:eastAsiaTheme="minorEastAsia"/>
        </w:rPr>
        <w:t xml:space="preserve">исходная и равновесная концентрации иттербия в водной фазе, соответственно; </w:t>
      </w:r>
      <m:oMath>
        <m:sSub>
          <m:sSubPr>
            <m:ctrlPr>
              <w:rPr>
                <w:rFonts w:ascii="Cambria Math" w:hAnsi="Cambria Math"/>
                <w:i/>
                <w:lang w:val="en-US"/>
              </w:rPr>
            </m:ctrlPr>
          </m:sSubPr>
          <m:e>
            <m:r>
              <w:rPr>
                <w:rFonts w:ascii="Cambria Math" w:hAnsi="Cambria Math"/>
                <w:lang w:val="en-US"/>
              </w:rPr>
              <m:t>V</m:t>
            </m:r>
          </m:e>
          <m:sub>
            <m:r>
              <w:rPr>
                <w:rFonts w:ascii="Cambria Math" w:hAnsi="Cambria Math"/>
              </w:rPr>
              <m:t>в</m:t>
            </m:r>
          </m:sub>
        </m:sSub>
      </m:oMath>
      <w:r w:rsidR="007036E9" w:rsidRPr="007036E9">
        <w:rPr>
          <w:rFonts w:eastAsiaTheme="minorEastAsia"/>
        </w:rPr>
        <w:t xml:space="preserve">, </w:t>
      </w:r>
      <m:oMath>
        <m:sSub>
          <m:sSubPr>
            <m:ctrlPr>
              <w:rPr>
                <w:rFonts w:ascii="Cambria Math" w:hAnsi="Cambria Math"/>
                <w:i/>
                <w:lang w:val="en-US"/>
              </w:rPr>
            </m:ctrlPr>
          </m:sSubPr>
          <m:e>
            <m:r>
              <w:rPr>
                <w:rFonts w:ascii="Cambria Math" w:hAnsi="Cambria Math"/>
                <w:lang w:val="en-US"/>
              </w:rPr>
              <m:t>V</m:t>
            </m:r>
          </m:e>
          <m:sub>
            <m:r>
              <w:rPr>
                <w:rFonts w:ascii="Cambria Math" w:hAnsi="Cambria Math"/>
              </w:rPr>
              <m:t>о</m:t>
            </m:r>
          </m:sub>
        </m:sSub>
      </m:oMath>
      <w:r w:rsidR="007036E9" w:rsidRPr="007036E9">
        <w:rPr>
          <w:rFonts w:eastAsiaTheme="minorEastAsia"/>
        </w:rPr>
        <w:t xml:space="preserve"> </w:t>
      </w:r>
      <w:r w:rsidR="00E3604F">
        <w:rPr>
          <w:color w:val="000000"/>
        </w:rPr>
        <w:t>—</w:t>
      </w:r>
      <w:r w:rsidRPr="007039AB">
        <w:rPr>
          <w:rFonts w:eastAsiaTheme="minorEastAsia"/>
        </w:rPr>
        <w:t xml:space="preserve"> </w:t>
      </w:r>
      <w:r>
        <w:rPr>
          <w:rFonts w:eastAsiaTheme="minorEastAsia"/>
        </w:rPr>
        <w:t>объемы водной и органической фаз, соответственно;</w:t>
      </w:r>
      <w:r>
        <w:rPr>
          <w:color w:val="000000"/>
        </w:rPr>
        <w:t xml:space="preserve"> </w:t>
      </w:r>
      <m:oMath>
        <m:r>
          <w:rPr>
            <w:rFonts w:ascii="Cambria Math" w:hAnsi="Cambria Math"/>
            <w:lang w:val="en-US"/>
          </w:rPr>
          <m:t>Δ</m:t>
        </m:r>
        <m:sSub>
          <m:sSubPr>
            <m:ctrlPr>
              <w:rPr>
                <w:rFonts w:ascii="Cambria Math" w:hAnsi="Cambria Math"/>
                <w:i/>
                <w:iCs/>
                <w:lang w:val="en-US"/>
              </w:rPr>
            </m:ctrlPr>
          </m:sSubPr>
          <m:e>
            <m:r>
              <w:rPr>
                <w:rFonts w:ascii="Cambria Math" w:hAnsi="Cambria Math"/>
                <w:lang w:val="en-US"/>
              </w:rPr>
              <m:t>C</m:t>
            </m:r>
          </m:e>
          <m:sub>
            <m:r>
              <w:rPr>
                <w:rFonts w:ascii="Cambria Math" w:hAnsi="Cambria Math"/>
              </w:rPr>
              <m:t>в</m:t>
            </m:r>
          </m:sub>
        </m:sSub>
      </m:oMath>
      <w:r>
        <w:rPr>
          <w:color w:val="000000"/>
        </w:rPr>
        <w:t xml:space="preserve"> </w:t>
      </w:r>
      <w:r w:rsidR="00E3604F">
        <w:rPr>
          <w:color w:val="000000"/>
        </w:rPr>
        <w:t>—</w:t>
      </w:r>
      <w:r>
        <w:rPr>
          <w:color w:val="000000"/>
        </w:rPr>
        <w:t xml:space="preserve"> </w:t>
      </w:r>
      <w:r w:rsidR="006E7521">
        <w:rPr>
          <w:color w:val="000000"/>
        </w:rPr>
        <w:t xml:space="preserve">абсолютная случайная погрешность определения равновесной концентрации иттербия в водной фазе, </w:t>
      </w:r>
      <w:r>
        <w:rPr>
          <w:color w:val="000000"/>
        </w:rPr>
        <w:t>вычисляемая по формуле</w:t>
      </w:r>
      <w:r w:rsidR="00E6351A">
        <w:rPr>
          <w:color w:val="000000"/>
        </w:rPr>
        <w:t>:</w:t>
      </w:r>
    </w:p>
    <w:p w14:paraId="7F70B22A" w14:textId="77777777" w:rsidR="006E7521" w:rsidRPr="009D62AB" w:rsidRDefault="006E7521" w:rsidP="00E6351A">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center" w:pos="4592"/>
          <w:tab w:val="left" w:pos="5040"/>
          <w:tab w:val="left" w:pos="5760"/>
          <w:tab w:val="left" w:pos="6480"/>
          <w:tab w:val="right" w:pos="8080"/>
          <w:tab w:val="right" w:pos="9184"/>
        </w:tabs>
        <w:contextualSpacing/>
        <w:jc w:val="center"/>
        <w:rPr>
          <w:iCs/>
        </w:rPr>
      </w:pPr>
      <m:oMath>
        <m:r>
          <w:rPr>
            <w:rFonts w:ascii="Cambria Math" w:hAnsi="Cambria Math"/>
            <w:lang w:val="en-US"/>
          </w:rPr>
          <m:t>Δ</m:t>
        </m:r>
        <m:sSub>
          <m:sSubPr>
            <m:ctrlPr>
              <w:rPr>
                <w:rFonts w:ascii="Cambria Math" w:hAnsi="Cambria Math"/>
                <w:i/>
                <w:iCs/>
                <w:lang w:val="en-US"/>
              </w:rPr>
            </m:ctrlPr>
          </m:sSubPr>
          <m:e>
            <m:r>
              <w:rPr>
                <w:rFonts w:ascii="Cambria Math" w:hAnsi="Cambria Math"/>
                <w:lang w:val="en-US"/>
              </w:rPr>
              <m:t>C</m:t>
            </m:r>
          </m:e>
          <m:sub>
            <m:r>
              <w:rPr>
                <w:rFonts w:ascii="Cambria Math" w:hAnsi="Cambria Math"/>
              </w:rPr>
              <m:t>в</m:t>
            </m:r>
          </m:sub>
        </m:sSub>
        <m:r>
          <w:rPr>
            <w:rFonts w:ascii="Cambria Math" w:hAnsi="Cambria Math"/>
          </w:rPr>
          <m:t>=</m:t>
        </m:r>
        <m:rad>
          <m:radPr>
            <m:degHide m:val="1"/>
            <m:ctrlPr>
              <w:rPr>
                <w:rFonts w:ascii="Cambria Math" w:hAnsi="Cambria Math"/>
                <w:i/>
                <w:iCs/>
                <w:lang w:val="en-US"/>
              </w:rPr>
            </m:ctrlPr>
          </m:radPr>
          <m:deg/>
          <m:e>
            <m:sSup>
              <m:sSupPr>
                <m:ctrlPr>
                  <w:rPr>
                    <w:rFonts w:ascii="Cambria Math" w:hAnsi="Cambria Math"/>
                    <w:i/>
                    <w:iCs/>
                    <w:lang w:val="en-US"/>
                  </w:rPr>
                </m:ctrlPr>
              </m:sSupPr>
              <m:e>
                <m:r>
                  <w:rPr>
                    <w:rFonts w:ascii="Cambria Math" w:hAnsi="Cambria Math"/>
                    <w:lang w:val="en-US"/>
                  </w:rPr>
                  <m:t>Δ</m:t>
                </m:r>
              </m:e>
              <m:sup>
                <m:r>
                  <w:rPr>
                    <w:rFonts w:ascii="Cambria Math" w:hAnsi="Cambria Math"/>
                  </w:rPr>
                  <m:t>2</m:t>
                </m:r>
              </m:sup>
            </m:sSup>
            <m:sSub>
              <m:sSubPr>
                <m:ctrlPr>
                  <w:rPr>
                    <w:rFonts w:ascii="Cambria Math" w:hAnsi="Cambria Math"/>
                    <w:i/>
                    <w:iCs/>
                    <w:lang w:val="en-US"/>
                  </w:rPr>
                </m:ctrlPr>
              </m:sSubPr>
              <m:e>
                <m:r>
                  <w:rPr>
                    <w:rFonts w:ascii="Cambria Math" w:hAnsi="Cambria Math"/>
                    <w:lang w:val="en-US"/>
                  </w:rPr>
                  <m:t>C</m:t>
                </m:r>
              </m:e>
              <m:sub>
                <m:r>
                  <w:rPr>
                    <w:rFonts w:ascii="Cambria Math" w:hAnsi="Cambria Math"/>
                  </w:rPr>
                  <m:t>разв</m:t>
                </m:r>
              </m:sub>
            </m:sSub>
            <m:r>
              <w:rPr>
                <w:rFonts w:ascii="Cambria Math" w:hAnsi="Cambria Math"/>
              </w:rPr>
              <m:t>+</m:t>
            </m:r>
            <m:sSup>
              <m:sSupPr>
                <m:ctrlPr>
                  <w:rPr>
                    <w:rFonts w:ascii="Cambria Math" w:hAnsi="Cambria Math"/>
                    <w:i/>
                    <w:iCs/>
                    <w:lang w:val="en-US"/>
                  </w:rPr>
                </m:ctrlPr>
              </m:sSupPr>
              <m:e>
                <m:r>
                  <w:rPr>
                    <w:rFonts w:ascii="Cambria Math" w:hAnsi="Cambria Math"/>
                    <w:lang w:val="en-US"/>
                  </w:rPr>
                  <m:t>Δ</m:t>
                </m:r>
              </m:e>
              <m:sup>
                <m:r>
                  <w:rPr>
                    <w:rFonts w:ascii="Cambria Math" w:hAnsi="Cambria Math"/>
                  </w:rPr>
                  <m:t>2</m:t>
                </m:r>
              </m:sup>
            </m:sSup>
            <m:sSub>
              <m:sSubPr>
                <m:ctrlPr>
                  <w:rPr>
                    <w:rFonts w:ascii="Cambria Math" w:hAnsi="Cambria Math"/>
                    <w:i/>
                    <w:iCs/>
                    <w:lang w:val="en-US"/>
                  </w:rPr>
                </m:ctrlPr>
              </m:sSubPr>
              <m:e>
                <m:r>
                  <w:rPr>
                    <w:rFonts w:ascii="Cambria Math" w:hAnsi="Cambria Math"/>
                    <w:lang w:val="en-US"/>
                  </w:rPr>
                  <m:t>C</m:t>
                </m:r>
              </m:e>
              <m:sub>
                <m:r>
                  <w:rPr>
                    <w:rFonts w:ascii="Cambria Math" w:hAnsi="Cambria Math"/>
                  </w:rPr>
                  <m:t>экс</m:t>
                </m:r>
              </m:sub>
            </m:sSub>
            <m:r>
              <w:rPr>
                <w:rFonts w:ascii="Cambria Math" w:hAnsi="Cambria Math"/>
              </w:rPr>
              <m:t>+</m:t>
            </m:r>
            <m:sSup>
              <m:sSupPr>
                <m:ctrlPr>
                  <w:rPr>
                    <w:rFonts w:ascii="Cambria Math" w:hAnsi="Cambria Math"/>
                    <w:i/>
                    <w:iCs/>
                    <w:lang w:val="en-US"/>
                  </w:rPr>
                </m:ctrlPr>
              </m:sSupPr>
              <m:e>
                <m:r>
                  <w:rPr>
                    <w:rFonts w:ascii="Cambria Math" w:hAnsi="Cambria Math"/>
                    <w:lang w:val="en-US"/>
                  </w:rPr>
                  <m:t>Δ</m:t>
                </m:r>
              </m:e>
              <m:sup>
                <m:r>
                  <w:rPr>
                    <w:rFonts w:ascii="Cambria Math" w:hAnsi="Cambria Math"/>
                  </w:rPr>
                  <m:t>2</m:t>
                </m:r>
              </m:sup>
            </m:sSup>
            <m:sSub>
              <m:sSubPr>
                <m:ctrlPr>
                  <w:rPr>
                    <w:rFonts w:ascii="Cambria Math" w:hAnsi="Cambria Math"/>
                    <w:i/>
                    <w:iCs/>
                    <w:lang w:val="en-US"/>
                  </w:rPr>
                </m:ctrlPr>
              </m:sSubPr>
              <m:e>
                <m:r>
                  <w:rPr>
                    <w:rFonts w:ascii="Cambria Math" w:hAnsi="Cambria Math"/>
                    <w:lang w:val="en-US"/>
                  </w:rPr>
                  <m:t>C</m:t>
                </m:r>
              </m:e>
              <m:sub>
                <m:r>
                  <w:rPr>
                    <w:rFonts w:ascii="Cambria Math" w:hAnsi="Cambria Math"/>
                  </w:rPr>
                  <m:t>АЭС ИСП</m:t>
                </m:r>
              </m:sub>
            </m:sSub>
          </m:e>
        </m:rad>
      </m:oMath>
      <w:r w:rsidR="009D62AB">
        <w:rPr>
          <w:i/>
          <w:iCs/>
        </w:rPr>
        <w:t xml:space="preserve"> </w:t>
      </w:r>
    </w:p>
    <w:p w14:paraId="216FEF05" w14:textId="77777777" w:rsidR="006E7521" w:rsidRPr="00B5481A" w:rsidRDefault="009D62AB" w:rsidP="006E7521">
      <w:pPr>
        <w:tabs>
          <w:tab w:val="center" w:pos="4678"/>
          <w:tab w:val="right" w:pos="9355"/>
        </w:tabs>
        <w:contextualSpacing/>
        <w:jc w:val="both"/>
        <w:rPr>
          <w:rFonts w:eastAsiaTheme="minorEastAsia"/>
        </w:rPr>
      </w:pPr>
      <w:r>
        <w:t>г</w:t>
      </w:r>
      <w:r w:rsidRPr="009D62AB">
        <w:t>де</w:t>
      </w:r>
      <w:r>
        <w:rPr>
          <w:i/>
        </w:rPr>
        <w:t xml:space="preserve"> </w:t>
      </w:r>
      <m:oMath>
        <m:r>
          <m:rPr>
            <m:sty m:val="p"/>
          </m:rPr>
          <w:rPr>
            <w:rFonts w:ascii="Cambria Math" w:hAnsi="Cambria Math"/>
            <w:lang w:val="en-US"/>
          </w:rPr>
          <m:t>Δ</m:t>
        </m:r>
        <m:sSub>
          <m:sSubPr>
            <m:ctrlPr>
              <w:rPr>
                <w:rFonts w:ascii="Cambria Math" w:hAnsi="Cambria Math"/>
                <w:i/>
                <w:iCs/>
                <w:lang w:val="en-US"/>
              </w:rPr>
            </m:ctrlPr>
          </m:sSubPr>
          <m:e>
            <m:r>
              <w:rPr>
                <w:rFonts w:ascii="Cambria Math" w:hAnsi="Cambria Math"/>
                <w:lang w:val="en-US"/>
              </w:rPr>
              <m:t>C</m:t>
            </m:r>
          </m:e>
          <m:sub>
            <m:r>
              <w:rPr>
                <w:rFonts w:ascii="Cambria Math" w:hAnsi="Cambria Math"/>
              </w:rPr>
              <m:t>разв</m:t>
            </m:r>
          </m:sub>
        </m:sSub>
      </m:oMath>
      <w:r w:rsidR="006E7521">
        <w:rPr>
          <w:rFonts w:eastAsiaTheme="minorEastAsia"/>
          <w:iCs/>
        </w:rPr>
        <w:t xml:space="preserve"> </w:t>
      </w:r>
      <w:r w:rsidR="00E3604F">
        <w:rPr>
          <w:color w:val="000000"/>
        </w:rPr>
        <w:t>—</w:t>
      </w:r>
      <w:r w:rsidR="006E7521">
        <w:rPr>
          <w:rFonts w:eastAsiaTheme="minorEastAsia"/>
          <w:iCs/>
        </w:rPr>
        <w:t xml:space="preserve"> неопределенность, обусловленная разведением аналитической пробы; </w:t>
      </w:r>
      <m:oMath>
        <m:r>
          <m:rPr>
            <m:sty m:val="p"/>
          </m:rPr>
          <w:rPr>
            <w:rFonts w:ascii="Cambria Math" w:hAnsi="Cambria Math"/>
            <w:lang w:val="en-US"/>
          </w:rPr>
          <m:t>Δ</m:t>
        </m:r>
        <m:sSub>
          <m:sSubPr>
            <m:ctrlPr>
              <w:rPr>
                <w:rFonts w:ascii="Cambria Math" w:hAnsi="Cambria Math"/>
                <w:i/>
                <w:iCs/>
                <w:lang w:val="en-US"/>
              </w:rPr>
            </m:ctrlPr>
          </m:sSubPr>
          <m:e>
            <m:r>
              <w:rPr>
                <w:rFonts w:ascii="Cambria Math" w:hAnsi="Cambria Math"/>
                <w:lang w:val="en-US"/>
              </w:rPr>
              <m:t>C</m:t>
            </m:r>
          </m:e>
          <m:sub>
            <m:r>
              <w:rPr>
                <w:rFonts w:ascii="Cambria Math" w:hAnsi="Cambria Math"/>
              </w:rPr>
              <m:t>экс</m:t>
            </m:r>
          </m:sub>
        </m:sSub>
      </m:oMath>
      <w:r w:rsidR="006E7521">
        <w:rPr>
          <w:rFonts w:eastAsiaTheme="minorEastAsia"/>
          <w:iCs/>
        </w:rPr>
        <w:t xml:space="preserve"> </w:t>
      </w:r>
      <w:r w:rsidR="00E3604F">
        <w:rPr>
          <w:color w:val="000000"/>
        </w:rPr>
        <w:t>—</w:t>
      </w:r>
      <w:r w:rsidR="006E7521">
        <w:rPr>
          <w:rFonts w:eastAsiaTheme="minorEastAsia"/>
          <w:iCs/>
        </w:rPr>
        <w:t xml:space="preserve"> неопределенность, обусловленная присутствием следов экстрагента в водной фазе; </w:t>
      </w:r>
      <m:oMath>
        <m:r>
          <m:rPr>
            <m:sty m:val="p"/>
          </m:rPr>
          <w:rPr>
            <w:rFonts w:ascii="Cambria Math" w:hAnsi="Cambria Math"/>
            <w:lang w:val="en-US"/>
          </w:rPr>
          <m:t>Δ</m:t>
        </m:r>
        <m:sSub>
          <m:sSubPr>
            <m:ctrlPr>
              <w:rPr>
                <w:rFonts w:ascii="Cambria Math" w:hAnsi="Cambria Math"/>
                <w:i/>
                <w:iCs/>
                <w:lang w:val="en-US"/>
              </w:rPr>
            </m:ctrlPr>
          </m:sSubPr>
          <m:e>
            <m:r>
              <w:rPr>
                <w:rFonts w:ascii="Cambria Math" w:hAnsi="Cambria Math"/>
                <w:lang w:val="en-US"/>
              </w:rPr>
              <m:t>C</m:t>
            </m:r>
          </m:e>
          <m:sub>
            <m:r>
              <w:rPr>
                <w:rFonts w:ascii="Cambria Math" w:hAnsi="Cambria Math"/>
              </w:rPr>
              <m:t>АЭС ИСП</m:t>
            </m:r>
          </m:sub>
        </m:sSub>
      </m:oMath>
      <w:r w:rsidR="00E3604F">
        <w:rPr>
          <w:rFonts w:eastAsiaTheme="minorEastAsia"/>
          <w:iCs/>
        </w:rPr>
        <w:t xml:space="preserve"> </w:t>
      </w:r>
      <w:r w:rsidR="00E3604F">
        <w:rPr>
          <w:color w:val="000000"/>
        </w:rPr>
        <w:t>—</w:t>
      </w:r>
      <w:r w:rsidR="006E7521">
        <w:rPr>
          <w:rFonts w:eastAsiaTheme="minorEastAsia"/>
          <w:iCs/>
        </w:rPr>
        <w:t xml:space="preserve"> неопределенность, обусловленная погрешностью метода ИСП-АЭС</w:t>
      </w:r>
      <w:r w:rsidR="006E7521">
        <w:rPr>
          <w:rFonts w:eastAsiaTheme="minorEastAsia"/>
        </w:rPr>
        <w:t>.</w:t>
      </w:r>
    </w:p>
    <w:p w14:paraId="5E314CBC" w14:textId="77777777" w:rsidR="006E7521" w:rsidRPr="007036E9" w:rsidRDefault="006E7521" w:rsidP="00BA5D91">
      <w:pPr>
        <w:pBdr>
          <w:top w:val="nil"/>
          <w:left w:val="nil"/>
          <w:bottom w:val="nil"/>
          <w:right w:val="nil"/>
          <w:between w:val="nil"/>
        </w:pBdr>
        <w:shd w:val="clear" w:color="auto" w:fill="FFFFFF"/>
        <w:ind w:firstLine="397"/>
        <w:contextualSpacing/>
        <w:jc w:val="both"/>
      </w:pPr>
      <w:r>
        <w:t xml:space="preserve">Было установлено, что при использовании «стандартной» процедуры разделения и промывки фаз относительная случайная погрешность измерения </w:t>
      </w:r>
      <w:r w:rsidRPr="00DC33C2">
        <w:rPr>
          <w:i/>
          <w:iCs/>
          <w:lang w:val="en-US"/>
        </w:rPr>
        <w:t>D</w:t>
      </w:r>
      <w:r>
        <w:t xml:space="preserve"> иттербия варьировалась в диапазоне от 2 до 50</w:t>
      </w:r>
      <w:r w:rsidR="007D57BC">
        <w:rPr>
          <w:color w:val="000000"/>
          <w:lang w:val="en-US"/>
        </w:rPr>
        <w:t> </w:t>
      </w:r>
      <w:r>
        <w:t>%, при этом изменения значений коэффициентов распределения носили явно нелогичный характер, что можно объяснить попаданием следов органической фазы в водную фазу при отборе аликвот водной фазы для проведения анализа. Введение в процедуру дополнительной операции фильтрования водной фазы через бумажный фильтр (после промывки гексаном) существенно увеличило эффективность удаления следов экстрагента при пробоподготовке. При этом относительная случайная погрешность определения коэффициентов распределения иттербия не превысила</w:t>
      </w:r>
      <w:r w:rsidR="00CF21AC">
        <w:t xml:space="preserve"> 10–15</w:t>
      </w:r>
      <w:r>
        <w:rPr>
          <w:color w:val="000000"/>
          <w:lang w:val="en-US"/>
        </w:rPr>
        <w:t> </w:t>
      </w:r>
      <w:r>
        <w:t>%.</w:t>
      </w:r>
      <w:r w:rsidR="00E72330">
        <w:t xml:space="preserve"> </w:t>
      </w:r>
      <w:r w:rsidR="00CF21AC">
        <w:t xml:space="preserve">Это </w:t>
      </w:r>
      <w:r w:rsidR="00E72330">
        <w:t>позвол</w:t>
      </w:r>
      <w:r w:rsidR="00CF21AC">
        <w:t>яет уточнить параметры распределения металла при экстракции, что важно для построения модели распределения и разделения элементов методом экстракции и</w:t>
      </w:r>
      <w:r w:rsidR="00CF21AC" w:rsidRPr="00E80ABC">
        <w:t>/</w:t>
      </w:r>
      <w:r w:rsidR="00CF21AC">
        <w:t>или экстракционной хроматографии.</w:t>
      </w:r>
    </w:p>
    <w:sectPr w:rsidR="006E7521" w:rsidRPr="007036E9" w:rsidSect="00DC1DE5">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2220724">
    <w:abstractNumId w:val="0"/>
  </w:num>
  <w:num w:numId="2" w16cid:durableId="1748652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241"/>
    <w:rsid w:val="000174CF"/>
    <w:rsid w:val="0002019A"/>
    <w:rsid w:val="00044B59"/>
    <w:rsid w:val="00046AE0"/>
    <w:rsid w:val="0004772E"/>
    <w:rsid w:val="00063966"/>
    <w:rsid w:val="0006614B"/>
    <w:rsid w:val="00071887"/>
    <w:rsid w:val="00086081"/>
    <w:rsid w:val="000D65FB"/>
    <w:rsid w:val="000F196D"/>
    <w:rsid w:val="00101A1C"/>
    <w:rsid w:val="00106375"/>
    <w:rsid w:val="00116478"/>
    <w:rsid w:val="00122824"/>
    <w:rsid w:val="001258BD"/>
    <w:rsid w:val="00126766"/>
    <w:rsid w:val="00130241"/>
    <w:rsid w:val="001351A0"/>
    <w:rsid w:val="00141FD8"/>
    <w:rsid w:val="00147AA6"/>
    <w:rsid w:val="00151B28"/>
    <w:rsid w:val="0018539B"/>
    <w:rsid w:val="001E61C2"/>
    <w:rsid w:val="001F0493"/>
    <w:rsid w:val="002156CA"/>
    <w:rsid w:val="00220122"/>
    <w:rsid w:val="00223875"/>
    <w:rsid w:val="002264EE"/>
    <w:rsid w:val="00227733"/>
    <w:rsid w:val="0023307C"/>
    <w:rsid w:val="002615E5"/>
    <w:rsid w:val="002D4A21"/>
    <w:rsid w:val="002D5480"/>
    <w:rsid w:val="002E273D"/>
    <w:rsid w:val="0031361E"/>
    <w:rsid w:val="00387886"/>
    <w:rsid w:val="00391C38"/>
    <w:rsid w:val="003A0483"/>
    <w:rsid w:val="003B2482"/>
    <w:rsid w:val="003B76D6"/>
    <w:rsid w:val="003C54FC"/>
    <w:rsid w:val="003D5E85"/>
    <w:rsid w:val="00405FF6"/>
    <w:rsid w:val="0042251A"/>
    <w:rsid w:val="00430E33"/>
    <w:rsid w:val="00447CAD"/>
    <w:rsid w:val="0047339A"/>
    <w:rsid w:val="004A26A3"/>
    <w:rsid w:val="004D577D"/>
    <w:rsid w:val="004F0EDF"/>
    <w:rsid w:val="00510DCC"/>
    <w:rsid w:val="00522BF1"/>
    <w:rsid w:val="00523A11"/>
    <w:rsid w:val="005709FE"/>
    <w:rsid w:val="0057702F"/>
    <w:rsid w:val="005827E5"/>
    <w:rsid w:val="00590166"/>
    <w:rsid w:val="005D4C96"/>
    <w:rsid w:val="005F6EC0"/>
    <w:rsid w:val="00604766"/>
    <w:rsid w:val="006075A1"/>
    <w:rsid w:val="006262C1"/>
    <w:rsid w:val="006762FA"/>
    <w:rsid w:val="006B6A08"/>
    <w:rsid w:val="006E7521"/>
    <w:rsid w:val="006F7A19"/>
    <w:rsid w:val="007036E9"/>
    <w:rsid w:val="007344C3"/>
    <w:rsid w:val="007360E7"/>
    <w:rsid w:val="007516AE"/>
    <w:rsid w:val="0076011F"/>
    <w:rsid w:val="007736F0"/>
    <w:rsid w:val="00775389"/>
    <w:rsid w:val="00775802"/>
    <w:rsid w:val="007851D0"/>
    <w:rsid w:val="007947C6"/>
    <w:rsid w:val="00797838"/>
    <w:rsid w:val="007A3DAA"/>
    <w:rsid w:val="007C36D8"/>
    <w:rsid w:val="007D57BC"/>
    <w:rsid w:val="007E6D0D"/>
    <w:rsid w:val="007F147F"/>
    <w:rsid w:val="007F2744"/>
    <w:rsid w:val="007F57B4"/>
    <w:rsid w:val="008144CB"/>
    <w:rsid w:val="0086158F"/>
    <w:rsid w:val="008931BE"/>
    <w:rsid w:val="00902846"/>
    <w:rsid w:val="00910D71"/>
    <w:rsid w:val="00921D45"/>
    <w:rsid w:val="00934FC9"/>
    <w:rsid w:val="009534CE"/>
    <w:rsid w:val="0096225A"/>
    <w:rsid w:val="00985597"/>
    <w:rsid w:val="009A38A6"/>
    <w:rsid w:val="009A66DB"/>
    <w:rsid w:val="009B2F80"/>
    <w:rsid w:val="009B3300"/>
    <w:rsid w:val="009D62AB"/>
    <w:rsid w:val="009E01DC"/>
    <w:rsid w:val="009F3380"/>
    <w:rsid w:val="00A02163"/>
    <w:rsid w:val="00A314FE"/>
    <w:rsid w:val="00AB3651"/>
    <w:rsid w:val="00B036D2"/>
    <w:rsid w:val="00B21AC4"/>
    <w:rsid w:val="00B43EBE"/>
    <w:rsid w:val="00B5481A"/>
    <w:rsid w:val="00B638D4"/>
    <w:rsid w:val="00B815FB"/>
    <w:rsid w:val="00B81C97"/>
    <w:rsid w:val="00B92096"/>
    <w:rsid w:val="00B9557D"/>
    <w:rsid w:val="00BA5D91"/>
    <w:rsid w:val="00BB1A30"/>
    <w:rsid w:val="00BB63B3"/>
    <w:rsid w:val="00BB758E"/>
    <w:rsid w:val="00BC20F4"/>
    <w:rsid w:val="00BE1155"/>
    <w:rsid w:val="00BF36F8"/>
    <w:rsid w:val="00BF4622"/>
    <w:rsid w:val="00C9138A"/>
    <w:rsid w:val="00CD00B1"/>
    <w:rsid w:val="00CE34B3"/>
    <w:rsid w:val="00CF21AC"/>
    <w:rsid w:val="00D22306"/>
    <w:rsid w:val="00D42542"/>
    <w:rsid w:val="00D5393F"/>
    <w:rsid w:val="00D541D8"/>
    <w:rsid w:val="00D80614"/>
    <w:rsid w:val="00D8121C"/>
    <w:rsid w:val="00D8139A"/>
    <w:rsid w:val="00DC1DE5"/>
    <w:rsid w:val="00DE3AA8"/>
    <w:rsid w:val="00E15973"/>
    <w:rsid w:val="00E22189"/>
    <w:rsid w:val="00E34B51"/>
    <w:rsid w:val="00E3604F"/>
    <w:rsid w:val="00E5260A"/>
    <w:rsid w:val="00E62343"/>
    <w:rsid w:val="00E6351A"/>
    <w:rsid w:val="00E71513"/>
    <w:rsid w:val="00E72330"/>
    <w:rsid w:val="00E74069"/>
    <w:rsid w:val="00E80ABC"/>
    <w:rsid w:val="00E8385E"/>
    <w:rsid w:val="00E84BDE"/>
    <w:rsid w:val="00EB1CB5"/>
    <w:rsid w:val="00EB1F49"/>
    <w:rsid w:val="00ED1FF7"/>
    <w:rsid w:val="00ED2CC0"/>
    <w:rsid w:val="00EF0FC9"/>
    <w:rsid w:val="00EF60DF"/>
    <w:rsid w:val="00F26ECC"/>
    <w:rsid w:val="00F45950"/>
    <w:rsid w:val="00F60998"/>
    <w:rsid w:val="00F77640"/>
    <w:rsid w:val="00F865B3"/>
    <w:rsid w:val="00F92E87"/>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AF5C"/>
  <w15:docId w15:val="{925C563D-439B-4683-BB02-763F291E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DC1DE5"/>
    <w:pPr>
      <w:keepNext/>
      <w:keepLines/>
      <w:spacing w:before="480" w:after="120"/>
      <w:outlineLvl w:val="0"/>
    </w:pPr>
    <w:rPr>
      <w:b/>
      <w:sz w:val="48"/>
      <w:szCs w:val="48"/>
    </w:rPr>
  </w:style>
  <w:style w:type="paragraph" w:styleId="2">
    <w:name w:val="heading 2"/>
    <w:basedOn w:val="a"/>
    <w:next w:val="a"/>
    <w:uiPriority w:val="9"/>
    <w:semiHidden/>
    <w:unhideWhenUsed/>
    <w:qFormat/>
    <w:rsid w:val="00DC1DE5"/>
    <w:pPr>
      <w:keepNext/>
      <w:keepLines/>
      <w:spacing w:before="360" w:after="80"/>
      <w:outlineLvl w:val="1"/>
    </w:pPr>
    <w:rPr>
      <w:b/>
      <w:sz w:val="36"/>
      <w:szCs w:val="36"/>
    </w:rPr>
  </w:style>
  <w:style w:type="paragraph" w:styleId="3">
    <w:name w:val="heading 3"/>
    <w:basedOn w:val="a"/>
    <w:next w:val="a"/>
    <w:uiPriority w:val="9"/>
    <w:semiHidden/>
    <w:unhideWhenUsed/>
    <w:qFormat/>
    <w:rsid w:val="00DC1DE5"/>
    <w:pPr>
      <w:keepNext/>
      <w:keepLines/>
      <w:spacing w:before="280" w:after="80"/>
      <w:outlineLvl w:val="2"/>
    </w:pPr>
    <w:rPr>
      <w:b/>
      <w:sz w:val="28"/>
      <w:szCs w:val="28"/>
    </w:rPr>
  </w:style>
  <w:style w:type="paragraph" w:styleId="4">
    <w:name w:val="heading 4"/>
    <w:basedOn w:val="a"/>
    <w:next w:val="a"/>
    <w:uiPriority w:val="9"/>
    <w:semiHidden/>
    <w:unhideWhenUsed/>
    <w:qFormat/>
    <w:rsid w:val="00DC1DE5"/>
    <w:pPr>
      <w:keepNext/>
      <w:keepLines/>
      <w:spacing w:before="240" w:after="40"/>
      <w:outlineLvl w:val="3"/>
    </w:pPr>
    <w:rPr>
      <w:b/>
    </w:rPr>
  </w:style>
  <w:style w:type="paragraph" w:styleId="5">
    <w:name w:val="heading 5"/>
    <w:basedOn w:val="a"/>
    <w:next w:val="a"/>
    <w:uiPriority w:val="9"/>
    <w:semiHidden/>
    <w:unhideWhenUsed/>
    <w:qFormat/>
    <w:rsid w:val="00DC1DE5"/>
    <w:pPr>
      <w:keepNext/>
      <w:keepLines/>
      <w:spacing w:before="220" w:after="40"/>
      <w:outlineLvl w:val="4"/>
    </w:pPr>
    <w:rPr>
      <w:b/>
      <w:sz w:val="22"/>
      <w:szCs w:val="22"/>
    </w:rPr>
  </w:style>
  <w:style w:type="paragraph" w:styleId="6">
    <w:name w:val="heading 6"/>
    <w:basedOn w:val="a"/>
    <w:next w:val="a"/>
    <w:uiPriority w:val="9"/>
    <w:semiHidden/>
    <w:unhideWhenUsed/>
    <w:qFormat/>
    <w:rsid w:val="00DC1DE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C1DE5"/>
    <w:tblPr>
      <w:tblCellMar>
        <w:top w:w="0" w:type="dxa"/>
        <w:left w:w="0" w:type="dxa"/>
        <w:bottom w:w="0" w:type="dxa"/>
        <w:right w:w="0" w:type="dxa"/>
      </w:tblCellMar>
    </w:tblPr>
  </w:style>
  <w:style w:type="paragraph" w:styleId="a3">
    <w:name w:val="Title"/>
    <w:basedOn w:val="a"/>
    <w:next w:val="a"/>
    <w:uiPriority w:val="10"/>
    <w:qFormat/>
    <w:rsid w:val="00DC1DE5"/>
    <w:pPr>
      <w:keepNext/>
      <w:keepLines/>
      <w:spacing w:before="480" w:after="120"/>
    </w:pPr>
    <w:rPr>
      <w:b/>
      <w:sz w:val="72"/>
      <w:szCs w:val="72"/>
    </w:rPr>
  </w:style>
  <w:style w:type="paragraph" w:styleId="a4">
    <w:name w:val="Subtitle"/>
    <w:basedOn w:val="a"/>
    <w:next w:val="a"/>
    <w:uiPriority w:val="11"/>
    <w:qFormat/>
    <w:rsid w:val="00DC1DE5"/>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B92096"/>
    <w:rPr>
      <w:rFonts w:ascii="Tahoma" w:hAnsi="Tahoma" w:cs="Tahoma"/>
      <w:sz w:val="16"/>
      <w:szCs w:val="16"/>
    </w:rPr>
  </w:style>
  <w:style w:type="character" w:customStyle="1" w:styleId="ab">
    <w:name w:val="Текст выноски Знак"/>
    <w:basedOn w:val="a0"/>
    <w:link w:val="aa"/>
    <w:uiPriority w:val="99"/>
    <w:semiHidden/>
    <w:rsid w:val="00B920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gorbachev@b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0DCF6-4537-4145-8205-EFDA6C16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501</Words>
  <Characters>3048</Characters>
  <Application>Microsoft Office Word</Application>
  <DocSecurity>0</DocSecurity>
  <Lines>338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Rostislav Kuznetsov</dc:creator>
  <cp:lastModifiedBy>Nikita Gorbachev</cp:lastModifiedBy>
  <cp:revision>5</cp:revision>
  <dcterms:created xsi:type="dcterms:W3CDTF">2023-03-05T15:19:00Z</dcterms:created>
  <dcterms:modified xsi:type="dcterms:W3CDTF">2023-03-06T10:53:00Z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