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C57" w:rsidRDefault="00CA7C57" w:rsidP="00CA7C57">
      <w:pPr>
        <w:pStyle w:val="Normal1"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Производные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тиурониевых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солей на основе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виицнальных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диаминов как потенциальные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нейропротекторы</w:t>
      </w:r>
      <w:proofErr w:type="spellEnd"/>
    </w:p>
    <w:p w:rsidR="00CA7C57" w:rsidRPr="00933416" w:rsidRDefault="00CA7C57" w:rsidP="00CA7C57">
      <w:pPr>
        <w:pStyle w:val="Normal1"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Морозов А.А.,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Базанов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Д.Р.,</w:t>
      </w:r>
      <w:r w:rsidR="00933416" w:rsidRPr="0093341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 w:rsidR="00933416" w:rsidRPr="0093341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93341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Лозинская Н.А.,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 xml:space="preserve">1 </w:t>
      </w:r>
      <w:r w:rsidR="0093341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 xml:space="preserve"> </w:t>
      </w:r>
    </w:p>
    <w:p w:rsidR="00CA7C57" w:rsidRDefault="00CA7C57" w:rsidP="00CA7C57">
      <w:pPr>
        <w:pStyle w:val="Normal1"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4 курс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специалитета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CA7C57" w:rsidRDefault="00CA7C57" w:rsidP="00CA7C57">
      <w:pPr>
        <w:pStyle w:val="Normal1"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М.В.Ломоносова, </w:t>
      </w:r>
    </w:p>
    <w:p w:rsidR="00CA7C57" w:rsidRDefault="00CA7C57" w:rsidP="00CA7C57">
      <w:pPr>
        <w:pStyle w:val="Normal1"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химический факультет, Москва, Россия</w:t>
      </w:r>
    </w:p>
    <w:p w:rsidR="00CA7C57" w:rsidRPr="00823AA9" w:rsidRDefault="00CA7C57" w:rsidP="00CA7C57">
      <w:pPr>
        <w:pStyle w:val="Normal1"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823AA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823AA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proofErr w:type="spellStart"/>
      <w:r w:rsidR="00823AA9">
        <w:rPr>
          <w:rStyle w:val="a3"/>
          <w:rFonts w:ascii="Times New Roman" w:eastAsia="Times New Roman" w:hAnsi="Times New Roman" w:cs="Times New Roman"/>
          <w:i/>
          <w:sz w:val="24"/>
          <w:szCs w:val="24"/>
          <w:lang w:val="en-US"/>
        </w:rPr>
        <w:t>lexsusmoroz</w:t>
      </w:r>
      <w:proofErr w:type="spellEnd"/>
      <w:r w:rsidR="00823AA9" w:rsidRPr="00823AA9">
        <w:rPr>
          <w:rStyle w:val="a3"/>
          <w:rFonts w:ascii="Times New Roman" w:eastAsia="Times New Roman" w:hAnsi="Times New Roman" w:cs="Times New Roman"/>
          <w:i/>
          <w:sz w:val="24"/>
          <w:szCs w:val="24"/>
        </w:rPr>
        <w:t>@</w:t>
      </w:r>
      <w:proofErr w:type="spellStart"/>
      <w:r w:rsidR="00823AA9">
        <w:rPr>
          <w:rStyle w:val="a3"/>
          <w:rFonts w:ascii="Times New Roman" w:eastAsia="Times New Roman" w:hAnsi="Times New Roman" w:cs="Times New Roman"/>
          <w:i/>
          <w:sz w:val="24"/>
          <w:szCs w:val="24"/>
          <w:lang w:val="en-US"/>
        </w:rPr>
        <w:t>gmail</w:t>
      </w:r>
      <w:proofErr w:type="spellEnd"/>
      <w:r w:rsidR="00823AA9" w:rsidRPr="00823AA9">
        <w:rPr>
          <w:rStyle w:val="a3"/>
          <w:rFonts w:ascii="Times New Roman" w:eastAsia="Times New Roman" w:hAnsi="Times New Roman" w:cs="Times New Roman"/>
          <w:i/>
          <w:sz w:val="24"/>
          <w:szCs w:val="24"/>
        </w:rPr>
        <w:t>.</w:t>
      </w:r>
      <w:r w:rsidR="00823AA9">
        <w:rPr>
          <w:rStyle w:val="a3"/>
          <w:rFonts w:ascii="Times New Roman" w:eastAsia="Times New Roman" w:hAnsi="Times New Roman" w:cs="Times New Roman"/>
          <w:i/>
          <w:sz w:val="24"/>
          <w:szCs w:val="24"/>
          <w:lang w:val="en-US"/>
        </w:rPr>
        <w:t>com</w:t>
      </w:r>
    </w:p>
    <w:p w:rsidR="00CA7C57" w:rsidRDefault="00823AA9" w:rsidP="00CA7C57">
      <w:pPr>
        <w:pStyle w:val="Normal1"/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Вицинальные этилендиамины являются основой для синтеза многих биологически активных соединений. </w:t>
      </w:r>
      <w:r w:rsidR="00CA7C5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Было показано, что </w:t>
      </w:r>
      <w:r w:rsidR="00661C5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тиурониевые соли</w:t>
      </w:r>
      <w:r w:rsidR="00CA7C5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обладают ингибиторной активностью в отношении</w:t>
      </w:r>
      <w:r w:rsidR="00F1752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многих ферментов, например</w:t>
      </w:r>
      <w:r w:rsidR="00CA7C5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661C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t>NO</w:t>
      </w:r>
      <w:r w:rsidR="00661C52" w:rsidRPr="00661C5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-</w:t>
      </w:r>
      <w:r w:rsidR="00661C5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синтазы </w:t>
      </w:r>
      <w:r w:rsidR="00CA7C5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[</w:t>
      </w:r>
      <w:r w:rsidR="0057264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1</w:t>
      </w:r>
      <w:r w:rsidR="00CA7C5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], </w:t>
      </w:r>
      <w:r w:rsidR="00661C5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а также противораковой активностью</w:t>
      </w:r>
      <w:r w:rsidR="00CA7C5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[</w:t>
      </w:r>
      <w:r w:rsidR="0078293F" w:rsidRPr="0078293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</w:t>
      </w:r>
      <w:r w:rsidR="00CA7C5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]</w:t>
      </w:r>
      <w:r w:rsidR="0057264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</w:t>
      </w:r>
      <w:r w:rsidR="00661C5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</w:p>
    <w:p w:rsidR="00CA7C57" w:rsidRDefault="00CA7C57" w:rsidP="00CA7C57">
      <w:pPr>
        <w:pStyle w:val="Normal1"/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скаффолда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760DF">
        <w:rPr>
          <w:rFonts w:ascii="Times New Roman" w:eastAsia="Times New Roman" w:hAnsi="Times New Roman" w:cs="Times New Roman"/>
          <w:color w:val="000000"/>
          <w:sz w:val="24"/>
          <w:szCs w:val="24"/>
        </w:rPr>
        <w:t>этилендиамина</w:t>
      </w:r>
      <w:proofErr w:type="spellEnd"/>
      <w:r w:rsidR="0078293F" w:rsidRPr="0078293F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78293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78293F" w:rsidRPr="0078293F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была синтезирована серия </w:t>
      </w:r>
      <w:proofErr w:type="spellStart"/>
      <w:r w:rsidR="00661C52">
        <w:rPr>
          <w:rFonts w:ascii="Times New Roman" w:eastAsia="Times New Roman" w:hAnsi="Times New Roman" w:cs="Times New Roman"/>
          <w:color w:val="000000"/>
          <w:sz w:val="24"/>
          <w:szCs w:val="24"/>
        </w:rPr>
        <w:t>тиурониевых</w:t>
      </w:r>
      <w:proofErr w:type="spellEnd"/>
      <w:r w:rsidR="00661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Была проведена оценка биологической активности полученных соединений. </w:t>
      </w:r>
    </w:p>
    <w:tbl>
      <w:tblPr>
        <w:tblStyle w:val="a5"/>
        <w:tblpPr w:leftFromText="180" w:rightFromText="180" w:vertAnchor="text" w:horzAnchor="margin" w:tblpXSpec="right" w:tblpY="149"/>
        <w:tblW w:w="3680" w:type="dxa"/>
        <w:tblInd w:w="0" w:type="dxa"/>
        <w:tblLook w:val="04A0"/>
      </w:tblPr>
      <w:tblGrid>
        <w:gridCol w:w="969"/>
        <w:gridCol w:w="1011"/>
        <w:gridCol w:w="850"/>
        <w:gridCol w:w="850"/>
      </w:tblGrid>
      <w:tr w:rsidR="000D0EBA" w:rsidTr="000D0EBA">
        <w:trPr>
          <w:trHeight w:val="234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BA" w:rsidRDefault="000D0EBA" w:rsidP="000D0EBA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BA" w:rsidRDefault="000D0EBA" w:rsidP="000D0EBA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BA" w:rsidRDefault="000D0EBA" w:rsidP="000D0EBA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R’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BA" w:rsidRDefault="000D0EBA" w:rsidP="000D0EBA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X</w:t>
            </w:r>
          </w:p>
        </w:tc>
      </w:tr>
      <w:tr w:rsidR="000D0EBA" w:rsidTr="000D0EBA">
        <w:trPr>
          <w:trHeight w:val="234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BA" w:rsidRPr="00823AA9" w:rsidRDefault="000D0EBA" w:rsidP="000D0EBA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5a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BA" w:rsidRDefault="000D0EBA" w:rsidP="000D0EBA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BA" w:rsidRPr="00823AA9" w:rsidRDefault="000D0EBA" w:rsidP="000D0EBA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BA" w:rsidRDefault="000D0EBA" w:rsidP="000D0EBA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Br</w:t>
            </w:r>
          </w:p>
        </w:tc>
      </w:tr>
      <w:tr w:rsidR="000D0EBA" w:rsidTr="000D0EBA">
        <w:trPr>
          <w:trHeight w:val="223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BA" w:rsidRPr="00823AA9" w:rsidRDefault="000D0EBA" w:rsidP="000D0EBA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5b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BA" w:rsidRPr="00823AA9" w:rsidRDefault="000D0EBA" w:rsidP="000D0EBA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BA" w:rsidRDefault="000D0EBA" w:rsidP="000D0EBA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BA" w:rsidRDefault="000D0EBA" w:rsidP="000D0EBA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Br</w:t>
            </w:r>
          </w:p>
        </w:tc>
      </w:tr>
      <w:tr w:rsidR="000D0EBA" w:rsidTr="000D0EBA">
        <w:trPr>
          <w:trHeight w:val="234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BA" w:rsidRPr="00823AA9" w:rsidRDefault="000D0EBA" w:rsidP="000D0EBA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5c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BA" w:rsidRPr="00823AA9" w:rsidRDefault="000D0EBA" w:rsidP="000D0EBA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BA" w:rsidRDefault="000D0EBA" w:rsidP="000D0EBA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BA" w:rsidRDefault="000D0EBA" w:rsidP="000D0EBA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Cl</w:t>
            </w:r>
            <w:proofErr w:type="spellEnd"/>
          </w:p>
        </w:tc>
      </w:tr>
      <w:tr w:rsidR="000D0EBA" w:rsidTr="000D0EBA">
        <w:trPr>
          <w:trHeight w:val="234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BA" w:rsidRPr="00823AA9" w:rsidRDefault="000D0EBA" w:rsidP="000D0EBA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5d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BA" w:rsidRDefault="000D0EBA" w:rsidP="000D0EBA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BA" w:rsidRDefault="000D0EBA" w:rsidP="000D0EBA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nPr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BA" w:rsidRDefault="000D0EBA" w:rsidP="000D0EBA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Br</w:t>
            </w:r>
          </w:p>
        </w:tc>
      </w:tr>
      <w:tr w:rsidR="000D0EBA" w:rsidTr="000D0EBA">
        <w:trPr>
          <w:trHeight w:val="234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BA" w:rsidRDefault="000D0EBA" w:rsidP="000D0EBA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5e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BA" w:rsidRDefault="000D0EBA" w:rsidP="000D0EBA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BA" w:rsidRDefault="000D0EBA" w:rsidP="000D0EBA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iBu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BA" w:rsidRDefault="000D0EBA" w:rsidP="000D0EBA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Br</w:t>
            </w:r>
          </w:p>
        </w:tc>
      </w:tr>
      <w:tr w:rsidR="000D0EBA" w:rsidTr="000D0EBA">
        <w:trPr>
          <w:trHeight w:val="234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BA" w:rsidRDefault="000D0EBA" w:rsidP="000D0EBA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5f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BA" w:rsidRDefault="000D0EBA" w:rsidP="000D0EBA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BA" w:rsidRPr="00823AA9" w:rsidRDefault="000D0EBA" w:rsidP="000D0EBA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iPr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BA" w:rsidRDefault="000D0EBA" w:rsidP="000D0EBA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Br</w:t>
            </w:r>
          </w:p>
        </w:tc>
      </w:tr>
      <w:tr w:rsidR="000D0EBA" w:rsidTr="000D0EBA">
        <w:trPr>
          <w:trHeight w:val="234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BA" w:rsidRDefault="000D0EBA" w:rsidP="000D0EBA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5g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BA" w:rsidRDefault="000D0EBA" w:rsidP="000D0EBA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BA" w:rsidRDefault="000D0EBA" w:rsidP="000D0EBA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nPr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BA" w:rsidRDefault="000D0EBA" w:rsidP="000D0EBA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Br</w:t>
            </w:r>
          </w:p>
        </w:tc>
      </w:tr>
      <w:tr w:rsidR="000D0EBA" w:rsidTr="000D0EBA">
        <w:trPr>
          <w:trHeight w:val="234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BA" w:rsidRDefault="000D0EBA" w:rsidP="000D0EBA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5h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BA" w:rsidRDefault="000D0EBA" w:rsidP="000D0EBA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BA" w:rsidRDefault="000D0EBA" w:rsidP="000D0EBA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BA" w:rsidRDefault="000D0EBA" w:rsidP="000D0EBA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Br</w:t>
            </w:r>
          </w:p>
        </w:tc>
      </w:tr>
      <w:tr w:rsidR="000D0EBA" w:rsidTr="000D0EBA">
        <w:trPr>
          <w:trHeight w:val="234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BA" w:rsidRDefault="000D0EBA" w:rsidP="000D0EBA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5i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BA" w:rsidRDefault="000D0EBA" w:rsidP="000D0EBA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BA" w:rsidRDefault="000D0EBA" w:rsidP="000D0EBA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iPr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BA" w:rsidRDefault="000D0EBA" w:rsidP="000D0EBA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Br</w:t>
            </w:r>
          </w:p>
        </w:tc>
      </w:tr>
    </w:tbl>
    <w:p w:rsidR="00CA7C57" w:rsidRDefault="00CA7C57" w:rsidP="00CA7C57">
      <w:pPr>
        <w:pStyle w:val="Normal1"/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Схема синтеза: </w:t>
      </w:r>
    </w:p>
    <w:p w:rsidR="00CA7C57" w:rsidRPr="000D0EBA" w:rsidRDefault="00CB689A" w:rsidP="000D0EBA">
      <w:pPr>
        <w:pStyle w:val="Normal1"/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26670</wp:posOffset>
            </wp:positionV>
            <wp:extent cx="2990850" cy="187579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87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7C57">
        <w:t xml:space="preserve"> </w:t>
      </w:r>
    </w:p>
    <w:p w:rsidR="00823AA9" w:rsidRDefault="00823AA9" w:rsidP="00CA7C57">
      <w:pPr>
        <w:pStyle w:val="Normal1"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B689A" w:rsidRDefault="00CB689A" w:rsidP="00F17522">
      <w:pPr>
        <w:pStyle w:val="Normal1"/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689A" w:rsidRDefault="00CB689A" w:rsidP="00F17522">
      <w:pPr>
        <w:pStyle w:val="Normal1"/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689A" w:rsidRDefault="00CB689A" w:rsidP="00F17522">
      <w:pPr>
        <w:pStyle w:val="Normal1"/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689A" w:rsidRDefault="00CB689A" w:rsidP="00F17522">
      <w:pPr>
        <w:pStyle w:val="Normal1"/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689A" w:rsidRDefault="00CB689A" w:rsidP="00F17522">
      <w:pPr>
        <w:pStyle w:val="Normal1"/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689A" w:rsidRDefault="00CB689A" w:rsidP="00F17522">
      <w:pPr>
        <w:pStyle w:val="Normal1"/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689A" w:rsidRDefault="00CB689A" w:rsidP="00F17522">
      <w:pPr>
        <w:pStyle w:val="Normal1"/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689A" w:rsidRDefault="00CB689A" w:rsidP="00F17522">
      <w:pPr>
        <w:pStyle w:val="Normal1"/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689A" w:rsidRDefault="00CB689A" w:rsidP="00F17522">
      <w:pPr>
        <w:pStyle w:val="Normal1"/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7522" w:rsidRDefault="00F17522" w:rsidP="00F17522">
      <w:pPr>
        <w:pStyle w:val="Normal1"/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Была измерена биологическая активность полученных солей</w:t>
      </w:r>
      <w:r w:rsidR="0078293F">
        <w:rPr>
          <w:rFonts w:ascii="Times New Roman" w:eastAsia="Times New Roman" w:hAnsi="Times New Roman" w:cs="Times New Roman"/>
          <w:color w:val="000000"/>
          <w:sz w:val="24"/>
          <w:szCs w:val="24"/>
        </w:rPr>
        <w:t>. Для</w:t>
      </w:r>
      <w:r w:rsidR="00CD6C71" w:rsidRPr="00CD6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2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оценки </w:t>
      </w:r>
      <w:proofErr w:type="spellStart"/>
      <w:r w:rsidR="0078293F">
        <w:rPr>
          <w:rFonts w:ascii="Times New Roman" w:eastAsia="Times New Roman" w:hAnsi="Times New Roman" w:cs="Times New Roman"/>
          <w:color w:val="000000"/>
          <w:sz w:val="24"/>
          <w:szCs w:val="24"/>
        </w:rPr>
        <w:t>нейропротекторных</w:t>
      </w:r>
      <w:proofErr w:type="spellEnd"/>
      <w:r w:rsidR="00782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свойств соединений была использована модель</w:t>
      </w:r>
      <w:r w:rsidR="00CD6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C71" w:rsidRPr="00CD6C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in</w:t>
      </w:r>
      <w:r w:rsidR="00CD6C71" w:rsidRPr="00CD6C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CD6C71" w:rsidRPr="00CD6C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vivo</w:t>
      </w:r>
      <w:r w:rsidR="00CD6C71" w:rsidRPr="00CD6C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="00CD6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оценивающая способность </w:t>
      </w:r>
      <w:proofErr w:type="spellStart"/>
      <w:r w:rsidR="00CD6C71">
        <w:rPr>
          <w:rFonts w:ascii="Times New Roman" w:eastAsia="Times New Roman" w:hAnsi="Times New Roman" w:cs="Times New Roman"/>
          <w:color w:val="000000"/>
          <w:sz w:val="24"/>
          <w:szCs w:val="24"/>
        </w:rPr>
        <w:t>тиурониевых</w:t>
      </w:r>
      <w:proofErr w:type="spellEnd"/>
      <w:r w:rsidR="00CD6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солей ингибировать </w:t>
      </w:r>
      <w:proofErr w:type="spellStart"/>
      <w:r w:rsidR="00CD6C71">
        <w:rPr>
          <w:rFonts w:ascii="Times New Roman" w:eastAsia="Times New Roman" w:hAnsi="Times New Roman" w:cs="Times New Roman"/>
          <w:color w:val="000000"/>
          <w:sz w:val="24"/>
          <w:szCs w:val="24"/>
        </w:rPr>
        <w:t>глутамат</w:t>
      </w:r>
      <w:proofErr w:type="spellEnd"/>
      <w:r w:rsidR="00CD6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gramStart"/>
      <w:r w:rsidR="00CD6C71">
        <w:rPr>
          <w:rFonts w:ascii="Times New Roman" w:eastAsia="Times New Roman" w:hAnsi="Times New Roman" w:cs="Times New Roman"/>
          <w:color w:val="000000"/>
          <w:sz w:val="24"/>
          <w:szCs w:val="24"/>
        </w:rPr>
        <w:t>стимулированный</w:t>
      </w:r>
      <w:proofErr w:type="gramEnd"/>
      <w:r w:rsidR="00CD6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C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</w:t>
      </w:r>
      <w:r w:rsidR="00CD6C71" w:rsidRPr="00CD6C7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2+</w:t>
      </w:r>
      <w:r w:rsidR="00CD6C71" w:rsidRPr="00CD6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CD6C71">
        <w:rPr>
          <w:rFonts w:ascii="Times New Roman" w:eastAsia="Times New Roman" w:hAnsi="Times New Roman" w:cs="Times New Roman"/>
          <w:color w:val="000000"/>
          <w:sz w:val="24"/>
          <w:szCs w:val="24"/>
        </w:rPr>
        <w:t>захват.</w:t>
      </w:r>
      <w:r w:rsidR="00CD6C71" w:rsidRPr="00CD6C71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CD6C7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CD6C71" w:rsidRPr="00CD6C71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CD6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результате первичного скрининга были выделены активные соединения, для которых </w:t>
      </w:r>
      <w:proofErr w:type="gramStart"/>
      <w:r w:rsidR="00CD6C71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определена</w:t>
      </w:r>
      <w:proofErr w:type="gramEnd"/>
      <w:r w:rsidR="00CD6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C7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IC</w:t>
      </w:r>
      <w:r w:rsidR="00CD6C71" w:rsidRPr="00CD6C7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50</w:t>
      </w:r>
      <w:r w:rsidR="00CD6C71" w:rsidRPr="00CD6C7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CD6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pPr w:leftFromText="180" w:rightFromText="180" w:vertAnchor="text" w:horzAnchor="page" w:tblpX="4213" w:tblpY="104"/>
        <w:tblW w:w="48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985"/>
        <w:gridCol w:w="2835"/>
      </w:tblGrid>
      <w:tr w:rsidR="00CD6C71" w:rsidRPr="00FD19D1" w:rsidTr="00CD6C7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71" w:rsidRPr="00CD6C71" w:rsidRDefault="00CD6C71" w:rsidP="00CD6C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lang w:val="en-US"/>
              </w:rPr>
            </w:pPr>
            <w:r w:rsidRPr="00CD6C71">
              <w:rPr>
                <w:rFonts w:ascii="Times New Roman" w:eastAsia="Times New Roman" w:hAnsi="Times New Roman"/>
                <w:b/>
                <w:bCs/>
              </w:rPr>
              <w:t>Код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71" w:rsidRPr="00CD6C71" w:rsidRDefault="00CD6C71" w:rsidP="00CD6C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CD6C71">
              <w:rPr>
                <w:rFonts w:ascii="Times New Roman" w:eastAsia="Times New Roman" w:hAnsi="Times New Roman"/>
                <w:b/>
                <w:bCs/>
                <w:lang w:val="en-US"/>
              </w:rPr>
              <w:t>IC</w:t>
            </w:r>
            <w:r w:rsidRPr="00CD6C71">
              <w:rPr>
                <w:rFonts w:ascii="Times New Roman" w:eastAsia="Times New Roman" w:hAnsi="Times New Roman"/>
                <w:b/>
                <w:bCs/>
                <w:vertAlign w:val="subscript"/>
                <w:lang w:val="en-US"/>
              </w:rPr>
              <w:t>50</w:t>
            </w:r>
            <w:r w:rsidRPr="00CD6C71">
              <w:rPr>
                <w:rFonts w:ascii="Times New Roman" w:eastAsia="Times New Roman" w:hAnsi="Times New Roman"/>
                <w:b/>
                <w:bCs/>
                <w:lang w:val="en-US"/>
              </w:rPr>
              <w:t>, µ</w:t>
            </w:r>
            <w:r w:rsidRPr="00CD6C71">
              <w:rPr>
                <w:rFonts w:ascii="Times New Roman" w:eastAsia="Times New Roman" w:hAnsi="Times New Roman"/>
                <w:b/>
                <w:bCs/>
              </w:rPr>
              <w:t>М</w:t>
            </w:r>
          </w:p>
        </w:tc>
      </w:tr>
      <w:tr w:rsidR="00CD6C71" w:rsidRPr="00FD19D1" w:rsidTr="00CD6C71"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C71" w:rsidRPr="00CD6C71" w:rsidRDefault="00CD6C71" w:rsidP="00CD6C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CD6C71">
              <w:rPr>
                <w:rFonts w:ascii="Times New Roman" w:eastAsia="Times New Roman" w:hAnsi="Times New Roman"/>
                <w:b/>
                <w:bCs/>
              </w:rPr>
              <w:t>5</w:t>
            </w:r>
            <w:r w:rsidRPr="00CD6C71">
              <w:rPr>
                <w:rFonts w:ascii="Times New Roman" w:eastAsia="Times New Roman" w:hAnsi="Times New Roman"/>
                <w:b/>
                <w:bCs/>
                <w:lang w:val="en-US"/>
              </w:rPr>
              <w:t>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C71" w:rsidRPr="00CD6C71" w:rsidRDefault="00CD6C71" w:rsidP="00CD6C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CD6C71">
              <w:rPr>
                <w:rFonts w:ascii="Times New Roman" w:eastAsia="Times New Roman" w:hAnsi="Times New Roman"/>
              </w:rPr>
              <w:t xml:space="preserve">128,8 </w:t>
            </w:r>
          </w:p>
        </w:tc>
      </w:tr>
      <w:tr w:rsidR="00CD6C71" w:rsidRPr="00FD19D1" w:rsidTr="00CD6C71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C71" w:rsidRPr="00CD6C71" w:rsidRDefault="00CD6C71" w:rsidP="00CD6C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CD6C71">
              <w:rPr>
                <w:rFonts w:ascii="Times New Roman" w:eastAsia="Times New Roman" w:hAnsi="Times New Roman"/>
                <w:b/>
                <w:bCs/>
              </w:rPr>
              <w:t>5</w:t>
            </w:r>
            <w:r w:rsidRPr="00CD6C71">
              <w:rPr>
                <w:rFonts w:ascii="Times New Roman" w:eastAsia="Times New Roman" w:hAnsi="Times New Roman"/>
                <w:b/>
                <w:bCs/>
                <w:lang w:val="en-US"/>
              </w:rPr>
              <w:t>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C71" w:rsidRPr="00CD6C71" w:rsidRDefault="00CD6C71" w:rsidP="00CD6C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CD6C71">
              <w:rPr>
                <w:rFonts w:ascii="Times New Roman" w:eastAsia="Times New Roman" w:hAnsi="Times New Roman"/>
              </w:rPr>
              <w:t xml:space="preserve">44,7 </w:t>
            </w:r>
          </w:p>
        </w:tc>
      </w:tr>
      <w:tr w:rsidR="00CD6C71" w:rsidRPr="00FD19D1" w:rsidTr="00CD6C71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C71" w:rsidRPr="00CD6C71" w:rsidRDefault="00CD6C71" w:rsidP="00CD6C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CD6C71">
              <w:rPr>
                <w:rFonts w:ascii="Times New Roman" w:eastAsia="Times New Roman" w:hAnsi="Times New Roman"/>
                <w:b/>
                <w:bCs/>
              </w:rPr>
              <w:t>5</w:t>
            </w:r>
            <w:r w:rsidRPr="00CD6C71">
              <w:rPr>
                <w:rFonts w:ascii="Times New Roman" w:eastAsia="Times New Roman" w:hAnsi="Times New Roman"/>
                <w:b/>
                <w:bCs/>
                <w:lang w:val="en-US"/>
              </w:rPr>
              <w:t>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C71" w:rsidRPr="00CD6C71" w:rsidRDefault="00CD6C71" w:rsidP="00CD6C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CD6C71">
              <w:rPr>
                <w:rFonts w:ascii="Times New Roman" w:eastAsia="Times New Roman" w:hAnsi="Times New Roman"/>
              </w:rPr>
              <w:t xml:space="preserve">40,7 </w:t>
            </w:r>
          </w:p>
        </w:tc>
      </w:tr>
      <w:tr w:rsidR="00CD6C71" w:rsidRPr="00FD19D1" w:rsidTr="00CD6C71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C71" w:rsidRPr="00CD6C71" w:rsidRDefault="00CD6C71" w:rsidP="00CD6C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bookmarkStart w:id="0" w:name="_Hlk115388234"/>
            <w:r w:rsidRPr="00CD6C71">
              <w:rPr>
                <w:rFonts w:ascii="Times New Roman" w:eastAsia="Times New Roman" w:hAnsi="Times New Roman"/>
                <w:b/>
                <w:bCs/>
              </w:rPr>
              <w:t>5</w:t>
            </w:r>
            <w:r w:rsidRPr="00CD6C71">
              <w:rPr>
                <w:rFonts w:ascii="Times New Roman" w:eastAsia="Times New Roman" w:hAnsi="Times New Roman"/>
                <w:b/>
                <w:bCs/>
                <w:lang w:val="en-US"/>
              </w:rPr>
              <w:t>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C71" w:rsidRPr="00CD6C71" w:rsidRDefault="00CD6C71" w:rsidP="00CD6C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CD6C71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24,5 </w:t>
            </w:r>
          </w:p>
        </w:tc>
      </w:tr>
      <w:tr w:rsidR="00CD6C71" w:rsidRPr="00FD19D1" w:rsidTr="00CD6C71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C71" w:rsidRPr="00CD6C71" w:rsidRDefault="00CD6C71" w:rsidP="00CD6C7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CD6C71">
              <w:rPr>
                <w:rFonts w:ascii="Times New Roman" w:eastAsia="Times New Roman" w:hAnsi="Times New Roman"/>
                <w:b/>
                <w:bCs/>
                <w:lang w:val="en-US"/>
              </w:rPr>
              <w:t>5e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C71" w:rsidRPr="00CD6C71" w:rsidRDefault="00CD6C71" w:rsidP="00CD6C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</w:rPr>
            </w:pPr>
            <w:r w:rsidRPr="00CD6C71">
              <w:rPr>
                <w:rFonts w:ascii="Times New Roman" w:eastAsia="Times New Roman" w:hAnsi="Times New Roman"/>
                <w:b/>
                <w:bCs/>
              </w:rPr>
              <w:t>19,5</w:t>
            </w:r>
          </w:p>
        </w:tc>
      </w:tr>
      <w:bookmarkEnd w:id="0"/>
    </w:tbl>
    <w:p w:rsidR="00CD6C71" w:rsidRPr="00CD6C71" w:rsidRDefault="00CD6C71" w:rsidP="00F17522">
      <w:pPr>
        <w:pStyle w:val="Normal1"/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CD6C71" w:rsidRDefault="00CD6C71" w:rsidP="00CA7C57">
      <w:pPr>
        <w:pStyle w:val="Normal1"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D6C71" w:rsidRDefault="00CD6C71" w:rsidP="00CA7C57">
      <w:pPr>
        <w:pStyle w:val="Normal1"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D6C71" w:rsidRDefault="00CD6C71" w:rsidP="00CA7C57">
      <w:pPr>
        <w:pStyle w:val="Normal1"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D6C71" w:rsidRDefault="00CD6C71" w:rsidP="00CA7C57">
      <w:pPr>
        <w:pStyle w:val="Normal1"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D6C71" w:rsidRDefault="00CD6C71" w:rsidP="00CD6C71">
      <w:pPr>
        <w:pStyle w:val="Normal1"/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42DD2" w:rsidRPr="00142DD2" w:rsidRDefault="00142DD2" w:rsidP="00142DD2">
      <w:pPr>
        <w:pStyle w:val="a4"/>
        <w:autoSpaceDE w:val="0"/>
        <w:autoSpaceDN w:val="0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142DD2">
        <w:rPr>
          <w:rFonts w:ascii="Times New Roman" w:hAnsi="Times New Roman" w:cs="Times New Roman"/>
          <w:i/>
          <w:sz w:val="24"/>
          <w:szCs w:val="24"/>
        </w:rPr>
        <w:t>Данная работа выполнена при поддержке Российского Фонда фундаментальных исследований (проект 22-13-00228)</w:t>
      </w:r>
    </w:p>
    <w:p w:rsidR="00142DD2" w:rsidRDefault="00142DD2" w:rsidP="00CA7C57">
      <w:pPr>
        <w:pStyle w:val="Normal1"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A7C57" w:rsidRDefault="00CA7C57" w:rsidP="00CA7C57">
      <w:pPr>
        <w:pStyle w:val="Normal1"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CA7C57" w:rsidRPr="00572641" w:rsidRDefault="00572641" w:rsidP="00142DD2">
      <w:pPr>
        <w:pStyle w:val="a4"/>
        <w:numPr>
          <w:ilvl w:val="0"/>
          <w:numId w:val="1"/>
        </w:numPr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26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D. Jang, C. </w:t>
      </w:r>
      <w:proofErr w:type="spellStart"/>
      <w:r w:rsidRPr="00572641">
        <w:rPr>
          <w:rFonts w:ascii="Times New Roman" w:eastAsia="Times New Roman" w:hAnsi="Times New Roman" w:cs="Times New Roman"/>
          <w:sz w:val="24"/>
          <w:szCs w:val="24"/>
          <w:lang w:val="en-US"/>
        </w:rPr>
        <w:t>Szabo</w:t>
      </w:r>
      <w:proofErr w:type="spellEnd"/>
      <w:r w:rsidRPr="005726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G. A. Murrell, S-Substituted </w:t>
      </w:r>
      <w:proofErr w:type="spellStart"/>
      <w:r w:rsidRPr="00572641">
        <w:rPr>
          <w:rFonts w:ascii="Times New Roman" w:eastAsia="Times New Roman" w:hAnsi="Times New Roman" w:cs="Times New Roman"/>
          <w:sz w:val="24"/>
          <w:szCs w:val="24"/>
          <w:lang w:val="en-US"/>
        </w:rPr>
        <w:t>isothioureas</w:t>
      </w:r>
      <w:proofErr w:type="spellEnd"/>
      <w:r w:rsidRPr="005726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are potent inhibitors of nitric oxide biosynthesis in cartilage Eur. J. </w:t>
      </w:r>
      <w:proofErr w:type="spellStart"/>
      <w:r w:rsidRPr="00572641">
        <w:rPr>
          <w:rFonts w:ascii="Times New Roman" w:eastAsia="Times New Roman" w:hAnsi="Times New Roman" w:cs="Times New Roman"/>
          <w:sz w:val="24"/>
          <w:szCs w:val="24"/>
          <w:lang w:val="en-US"/>
        </w:rPr>
        <w:t>Pharmacol</w:t>
      </w:r>
      <w:proofErr w:type="spellEnd"/>
      <w:r w:rsidRPr="00572641">
        <w:rPr>
          <w:rFonts w:ascii="Times New Roman" w:eastAsia="Times New Roman" w:hAnsi="Times New Roman" w:cs="Times New Roman"/>
          <w:sz w:val="24"/>
          <w:szCs w:val="24"/>
          <w:lang w:val="en-US"/>
        </w:rPr>
        <w:t>., V. 312, (3), pp.341-347, 1996 doi:10.1016/0014-2999(96)00369-X</w:t>
      </w:r>
    </w:p>
    <w:p w:rsidR="00572641" w:rsidRDefault="00572641" w:rsidP="00142DD2">
      <w:pPr>
        <w:pStyle w:val="a4"/>
        <w:numPr>
          <w:ilvl w:val="0"/>
          <w:numId w:val="1"/>
        </w:numPr>
        <w:autoSpaceDE w:val="0"/>
        <w:autoSpaceDN w:val="0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572641">
        <w:rPr>
          <w:rFonts w:ascii="Times New Roman" w:hAnsi="Times New Roman"/>
          <w:sz w:val="24"/>
          <w:szCs w:val="24"/>
          <w:lang w:val="en-US"/>
        </w:rPr>
        <w:t xml:space="preserve">V. </w:t>
      </w:r>
      <w:proofErr w:type="spellStart"/>
      <w:r w:rsidRPr="00572641">
        <w:rPr>
          <w:rFonts w:ascii="Times New Roman" w:hAnsi="Times New Roman"/>
          <w:sz w:val="24"/>
          <w:szCs w:val="24"/>
          <w:lang w:val="en-US"/>
        </w:rPr>
        <w:t>Alcolea</w:t>
      </w:r>
      <w:proofErr w:type="spellEnd"/>
      <w:r w:rsidRPr="00572641">
        <w:rPr>
          <w:rFonts w:ascii="Times New Roman" w:hAnsi="Times New Roman"/>
          <w:sz w:val="24"/>
          <w:szCs w:val="24"/>
          <w:lang w:val="en-US"/>
        </w:rPr>
        <w:t xml:space="preserve">, D. Plano, D. N. Karelia, J. A. </w:t>
      </w:r>
      <w:proofErr w:type="spellStart"/>
      <w:r w:rsidRPr="00572641">
        <w:rPr>
          <w:rFonts w:ascii="Times New Roman" w:hAnsi="Times New Roman"/>
          <w:sz w:val="24"/>
          <w:szCs w:val="24"/>
          <w:lang w:val="en-US"/>
        </w:rPr>
        <w:t>Palop</w:t>
      </w:r>
      <w:proofErr w:type="spellEnd"/>
      <w:r w:rsidRPr="00572641">
        <w:rPr>
          <w:rFonts w:ascii="Times New Roman" w:hAnsi="Times New Roman"/>
          <w:sz w:val="24"/>
          <w:szCs w:val="24"/>
          <w:lang w:val="en-US"/>
        </w:rPr>
        <w:t xml:space="preserve">, S. </w:t>
      </w:r>
      <w:proofErr w:type="spellStart"/>
      <w:r w:rsidRPr="00572641">
        <w:rPr>
          <w:rFonts w:ascii="Times New Roman" w:hAnsi="Times New Roman"/>
          <w:sz w:val="24"/>
          <w:szCs w:val="24"/>
          <w:lang w:val="en-US"/>
        </w:rPr>
        <w:t>Amin</w:t>
      </w:r>
      <w:proofErr w:type="spellEnd"/>
      <w:r w:rsidRPr="00572641">
        <w:rPr>
          <w:rFonts w:ascii="Times New Roman" w:hAnsi="Times New Roman"/>
          <w:sz w:val="24"/>
          <w:szCs w:val="24"/>
          <w:lang w:val="en-US"/>
        </w:rPr>
        <w:t xml:space="preserve">, C. </w:t>
      </w:r>
      <w:proofErr w:type="spellStart"/>
      <w:r w:rsidRPr="00572641">
        <w:rPr>
          <w:rFonts w:ascii="Times New Roman" w:hAnsi="Times New Roman"/>
          <w:sz w:val="24"/>
          <w:szCs w:val="24"/>
          <w:lang w:val="en-US"/>
        </w:rPr>
        <w:t>Sanmartín</w:t>
      </w:r>
      <w:proofErr w:type="spellEnd"/>
      <w:r w:rsidRPr="00572641">
        <w:rPr>
          <w:rFonts w:ascii="Times New Roman" w:hAnsi="Times New Roman"/>
          <w:sz w:val="24"/>
          <w:szCs w:val="24"/>
          <w:lang w:val="en-US"/>
        </w:rPr>
        <w:t xml:space="preserve">, A. K. Sharma Novel </w:t>
      </w:r>
      <w:proofErr w:type="spellStart"/>
      <w:r w:rsidRPr="00572641">
        <w:rPr>
          <w:rFonts w:ascii="Times New Roman" w:hAnsi="Times New Roman"/>
          <w:sz w:val="24"/>
          <w:szCs w:val="24"/>
          <w:lang w:val="en-US"/>
        </w:rPr>
        <w:t>seleno</w:t>
      </w:r>
      <w:proofErr w:type="spellEnd"/>
      <w:r w:rsidRPr="00572641">
        <w:rPr>
          <w:rFonts w:ascii="Times New Roman" w:hAnsi="Times New Roman"/>
          <w:sz w:val="24"/>
          <w:szCs w:val="24"/>
          <w:lang w:val="en-US"/>
        </w:rPr>
        <w:t xml:space="preserve">- and </w:t>
      </w:r>
      <w:proofErr w:type="spellStart"/>
      <w:r w:rsidRPr="00572641">
        <w:rPr>
          <w:rFonts w:ascii="Times New Roman" w:hAnsi="Times New Roman"/>
          <w:sz w:val="24"/>
          <w:szCs w:val="24"/>
          <w:lang w:val="en-US"/>
        </w:rPr>
        <w:t>thio</w:t>
      </w:r>
      <w:proofErr w:type="spellEnd"/>
      <w:r w:rsidRPr="00572641">
        <w:rPr>
          <w:rFonts w:ascii="Times New Roman" w:hAnsi="Times New Roman"/>
          <w:sz w:val="24"/>
          <w:szCs w:val="24"/>
          <w:lang w:val="en-US"/>
        </w:rPr>
        <w:t xml:space="preserve">-urea derivatives with potent in vitro activities against several cancer cell lines Eur. J. Med. Chem., V. 113, pp. 134-144, 2016, </w:t>
      </w:r>
      <w:proofErr w:type="spellStart"/>
      <w:r w:rsidRPr="00572641">
        <w:rPr>
          <w:rFonts w:ascii="Times New Roman" w:hAnsi="Times New Roman"/>
          <w:sz w:val="24"/>
          <w:szCs w:val="24"/>
          <w:lang w:val="en-US"/>
        </w:rPr>
        <w:t>doi</w:t>
      </w:r>
      <w:proofErr w:type="spellEnd"/>
      <w:r w:rsidRPr="00572641">
        <w:rPr>
          <w:rFonts w:ascii="Times New Roman" w:hAnsi="Times New Roman"/>
          <w:sz w:val="24"/>
          <w:szCs w:val="24"/>
          <w:lang w:val="en-US"/>
        </w:rPr>
        <w:t>: 10.1016/j.ejmech.2016.02.042.</w:t>
      </w:r>
    </w:p>
    <w:p w:rsidR="000D0EBA" w:rsidRDefault="0078293F" w:rsidP="00142DD2">
      <w:pPr>
        <w:pStyle w:val="a4"/>
        <w:numPr>
          <w:ilvl w:val="0"/>
          <w:numId w:val="1"/>
        </w:numPr>
        <w:autoSpaceDE w:val="0"/>
        <w:autoSpaceDN w:val="0"/>
        <w:ind w:left="0" w:firstLine="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17522">
        <w:rPr>
          <w:rFonts w:ascii="Times New Roman" w:hAnsi="Times New Roman"/>
          <w:sz w:val="24"/>
          <w:szCs w:val="24"/>
          <w:lang w:val="en-US"/>
        </w:rPr>
        <w:t>Proskurnina</w:t>
      </w:r>
      <w:proofErr w:type="spellEnd"/>
      <w:r w:rsidRPr="00F17522">
        <w:rPr>
          <w:rFonts w:ascii="Times New Roman" w:hAnsi="Times New Roman"/>
          <w:sz w:val="24"/>
          <w:szCs w:val="24"/>
          <w:lang w:val="en-US"/>
        </w:rPr>
        <w:t xml:space="preserve">, M. V., </w:t>
      </w:r>
      <w:proofErr w:type="spellStart"/>
      <w:r w:rsidRPr="00F17522">
        <w:rPr>
          <w:rFonts w:ascii="Times New Roman" w:hAnsi="Times New Roman"/>
          <w:sz w:val="24"/>
          <w:szCs w:val="24"/>
          <w:lang w:val="en-US"/>
        </w:rPr>
        <w:t>Lozinskaya</w:t>
      </w:r>
      <w:proofErr w:type="spellEnd"/>
      <w:r w:rsidRPr="00F17522">
        <w:rPr>
          <w:rFonts w:ascii="Times New Roman" w:hAnsi="Times New Roman"/>
          <w:sz w:val="24"/>
          <w:szCs w:val="24"/>
          <w:lang w:val="en-US"/>
        </w:rPr>
        <w:t xml:space="preserve">, N. A., </w:t>
      </w:r>
      <w:proofErr w:type="spellStart"/>
      <w:r w:rsidRPr="00F17522">
        <w:rPr>
          <w:rFonts w:ascii="Times New Roman" w:hAnsi="Times New Roman"/>
          <w:sz w:val="24"/>
          <w:szCs w:val="24"/>
          <w:lang w:val="en-US"/>
        </w:rPr>
        <w:t>Tkachenko</w:t>
      </w:r>
      <w:proofErr w:type="spellEnd"/>
      <w:r w:rsidRPr="00F17522">
        <w:rPr>
          <w:rFonts w:ascii="Times New Roman" w:hAnsi="Times New Roman"/>
          <w:sz w:val="24"/>
          <w:szCs w:val="24"/>
          <w:lang w:val="en-US"/>
        </w:rPr>
        <w:t xml:space="preserve">, S. E., &amp; </w:t>
      </w:r>
      <w:proofErr w:type="spellStart"/>
      <w:r w:rsidRPr="00F17522">
        <w:rPr>
          <w:rFonts w:ascii="Times New Roman" w:hAnsi="Times New Roman"/>
          <w:sz w:val="24"/>
          <w:szCs w:val="24"/>
          <w:lang w:val="en-US"/>
        </w:rPr>
        <w:t>Zefirov</w:t>
      </w:r>
      <w:proofErr w:type="spellEnd"/>
      <w:r w:rsidRPr="00F17522">
        <w:rPr>
          <w:rFonts w:ascii="Times New Roman" w:hAnsi="Times New Roman"/>
          <w:sz w:val="24"/>
          <w:szCs w:val="24"/>
          <w:lang w:val="en-US"/>
        </w:rPr>
        <w:t xml:space="preserve">, N. S. (2002). Reaction of aromatic </w:t>
      </w:r>
      <w:proofErr w:type="spellStart"/>
      <w:r w:rsidRPr="00F17522">
        <w:rPr>
          <w:rFonts w:ascii="Times New Roman" w:hAnsi="Times New Roman"/>
          <w:sz w:val="24"/>
          <w:szCs w:val="24"/>
          <w:lang w:val="en-US"/>
        </w:rPr>
        <w:t>aldehydes</w:t>
      </w:r>
      <w:proofErr w:type="spellEnd"/>
      <w:r w:rsidRPr="00F17522">
        <w:rPr>
          <w:rFonts w:ascii="Times New Roman" w:hAnsi="Times New Roman"/>
          <w:sz w:val="24"/>
          <w:szCs w:val="24"/>
          <w:lang w:val="en-US"/>
        </w:rPr>
        <w:t xml:space="preserve"> with ammonium acetate. Russian journal of organic chemistry, 38, 1149-1153.</w:t>
      </w:r>
    </w:p>
    <w:p w:rsidR="00142DD2" w:rsidRPr="00142DD2" w:rsidRDefault="000D0EBA" w:rsidP="00142DD2">
      <w:pPr>
        <w:pStyle w:val="a4"/>
        <w:numPr>
          <w:ilvl w:val="0"/>
          <w:numId w:val="1"/>
        </w:numPr>
        <w:autoSpaceDE w:val="0"/>
        <w:autoSpaceDN w:val="0"/>
        <w:ind w:left="0" w:firstLine="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D0EBA">
        <w:rPr>
          <w:rFonts w:ascii="Times New Roman" w:hAnsi="Times New Roman"/>
          <w:sz w:val="24"/>
          <w:szCs w:val="24"/>
          <w:lang w:val="en-US"/>
        </w:rPr>
        <w:t>Lozinskaya</w:t>
      </w:r>
      <w:proofErr w:type="spellEnd"/>
      <w:r w:rsidRPr="000D0EBA">
        <w:rPr>
          <w:rFonts w:ascii="Times New Roman" w:hAnsi="Times New Roman"/>
          <w:sz w:val="24"/>
          <w:szCs w:val="24"/>
          <w:lang w:val="en-US"/>
        </w:rPr>
        <w:t xml:space="preserve"> N.A., </w:t>
      </w:r>
      <w:proofErr w:type="spellStart"/>
      <w:r w:rsidRPr="000D0EBA">
        <w:rPr>
          <w:rFonts w:ascii="Times New Roman" w:hAnsi="Times New Roman"/>
          <w:sz w:val="24"/>
          <w:szCs w:val="24"/>
          <w:lang w:val="en-US"/>
        </w:rPr>
        <w:t>Morozov</w:t>
      </w:r>
      <w:proofErr w:type="spellEnd"/>
      <w:r w:rsidRPr="000D0EBA">
        <w:rPr>
          <w:rFonts w:ascii="Times New Roman" w:hAnsi="Times New Roman"/>
          <w:sz w:val="24"/>
          <w:szCs w:val="24"/>
          <w:lang w:val="en-US"/>
        </w:rPr>
        <w:t xml:space="preserve"> A.A., </w:t>
      </w:r>
      <w:proofErr w:type="spellStart"/>
      <w:r w:rsidRPr="000D0EBA">
        <w:rPr>
          <w:rFonts w:ascii="Times New Roman" w:hAnsi="Times New Roman"/>
          <w:sz w:val="24"/>
          <w:szCs w:val="24"/>
          <w:lang w:val="en-US"/>
        </w:rPr>
        <w:t>Bazanov</w:t>
      </w:r>
      <w:proofErr w:type="spellEnd"/>
      <w:r w:rsidRPr="000D0EBA">
        <w:rPr>
          <w:rFonts w:ascii="Times New Roman" w:hAnsi="Times New Roman"/>
          <w:sz w:val="24"/>
          <w:szCs w:val="24"/>
          <w:lang w:val="en-US"/>
        </w:rPr>
        <w:t xml:space="preserve"> D.R., </w:t>
      </w:r>
      <w:proofErr w:type="spellStart"/>
      <w:r w:rsidRPr="000D0EBA">
        <w:rPr>
          <w:rFonts w:ascii="Times New Roman" w:hAnsi="Times New Roman"/>
          <w:sz w:val="24"/>
          <w:szCs w:val="24"/>
          <w:lang w:val="en-US"/>
        </w:rPr>
        <w:t>Milaeva</w:t>
      </w:r>
      <w:proofErr w:type="spellEnd"/>
      <w:r w:rsidRPr="000D0EBA">
        <w:rPr>
          <w:rFonts w:ascii="Times New Roman" w:hAnsi="Times New Roman"/>
          <w:sz w:val="24"/>
          <w:szCs w:val="24"/>
          <w:lang w:val="en-US"/>
        </w:rPr>
        <w:t xml:space="preserve"> E.R., </w:t>
      </w:r>
      <w:proofErr w:type="spellStart"/>
      <w:r w:rsidRPr="000D0EBA">
        <w:rPr>
          <w:rFonts w:ascii="Times New Roman" w:hAnsi="Times New Roman"/>
          <w:sz w:val="24"/>
          <w:szCs w:val="24"/>
          <w:lang w:val="en-US"/>
        </w:rPr>
        <w:t>Areshidze</w:t>
      </w:r>
      <w:proofErr w:type="spellEnd"/>
      <w:r w:rsidRPr="000D0EBA">
        <w:rPr>
          <w:rFonts w:ascii="Times New Roman" w:hAnsi="Times New Roman"/>
          <w:sz w:val="24"/>
          <w:szCs w:val="24"/>
          <w:lang w:val="en-US"/>
        </w:rPr>
        <w:t xml:space="preserve"> D.A., </w:t>
      </w:r>
      <w:proofErr w:type="spellStart"/>
      <w:r w:rsidRPr="000D0EBA">
        <w:rPr>
          <w:rFonts w:ascii="Times New Roman" w:hAnsi="Times New Roman"/>
          <w:sz w:val="24"/>
          <w:szCs w:val="24"/>
          <w:lang w:val="en-US"/>
        </w:rPr>
        <w:t>Shevtsov</w:t>
      </w:r>
      <w:proofErr w:type="spellEnd"/>
      <w:r w:rsidRPr="000D0EBA">
        <w:rPr>
          <w:rFonts w:ascii="Times New Roman" w:hAnsi="Times New Roman"/>
          <w:sz w:val="24"/>
          <w:szCs w:val="24"/>
          <w:lang w:val="en-US"/>
        </w:rPr>
        <w:t xml:space="preserve"> P.N., </w:t>
      </w:r>
      <w:proofErr w:type="spellStart"/>
      <w:r w:rsidRPr="000D0EBA">
        <w:rPr>
          <w:rFonts w:ascii="Times New Roman" w:hAnsi="Times New Roman"/>
          <w:sz w:val="24"/>
          <w:szCs w:val="24"/>
          <w:lang w:val="en-US"/>
        </w:rPr>
        <w:t>Petrova</w:t>
      </w:r>
      <w:proofErr w:type="spellEnd"/>
      <w:r w:rsidRPr="000D0EBA">
        <w:rPr>
          <w:rFonts w:ascii="Times New Roman" w:hAnsi="Times New Roman"/>
          <w:sz w:val="24"/>
          <w:szCs w:val="24"/>
          <w:lang w:val="en-US"/>
        </w:rPr>
        <w:t xml:space="preserve"> L.N., </w:t>
      </w:r>
      <w:proofErr w:type="spellStart"/>
      <w:r w:rsidRPr="000D0EBA">
        <w:rPr>
          <w:rFonts w:ascii="Times New Roman" w:hAnsi="Times New Roman"/>
          <w:sz w:val="24"/>
          <w:szCs w:val="24"/>
          <w:lang w:val="en-US"/>
        </w:rPr>
        <w:t>Shevtsova</w:t>
      </w:r>
      <w:proofErr w:type="spellEnd"/>
      <w:r w:rsidRPr="000D0EBA">
        <w:rPr>
          <w:rFonts w:ascii="Times New Roman" w:hAnsi="Times New Roman"/>
          <w:sz w:val="24"/>
          <w:szCs w:val="24"/>
          <w:lang w:val="en-US"/>
        </w:rPr>
        <w:t xml:space="preserve"> E.F. </w:t>
      </w:r>
      <w:proofErr w:type="spellStart"/>
      <w:r w:rsidRPr="000D0EBA">
        <w:rPr>
          <w:rFonts w:ascii="Times New Roman" w:hAnsi="Times New Roman"/>
          <w:sz w:val="24"/>
          <w:szCs w:val="24"/>
          <w:lang w:val="en-US"/>
        </w:rPr>
        <w:t>Thiouronium</w:t>
      </w:r>
      <w:proofErr w:type="spellEnd"/>
      <w:r w:rsidRPr="000D0EBA">
        <w:rPr>
          <w:rFonts w:ascii="Times New Roman" w:hAnsi="Times New Roman"/>
          <w:sz w:val="24"/>
          <w:szCs w:val="24"/>
          <w:lang w:val="en-US"/>
        </w:rPr>
        <w:t xml:space="preserve"> salt derivatives based on vicinal </w:t>
      </w:r>
      <w:proofErr w:type="spellStart"/>
      <w:r w:rsidRPr="000D0EBA">
        <w:rPr>
          <w:rFonts w:ascii="Times New Roman" w:hAnsi="Times New Roman"/>
          <w:sz w:val="24"/>
          <w:szCs w:val="24"/>
          <w:lang w:val="en-US"/>
        </w:rPr>
        <w:t>diamines</w:t>
      </w:r>
      <w:proofErr w:type="spellEnd"/>
      <w:r w:rsidRPr="000D0EBA">
        <w:rPr>
          <w:rFonts w:ascii="Times New Roman" w:hAnsi="Times New Roman"/>
          <w:sz w:val="24"/>
          <w:szCs w:val="24"/>
          <w:lang w:val="en-US"/>
        </w:rPr>
        <w:t xml:space="preserve"> as potential </w:t>
      </w:r>
      <w:proofErr w:type="spellStart"/>
      <w:r w:rsidRPr="000D0EBA">
        <w:rPr>
          <w:rFonts w:ascii="Times New Roman" w:hAnsi="Times New Roman"/>
          <w:sz w:val="24"/>
          <w:szCs w:val="24"/>
          <w:lang w:val="en-US"/>
        </w:rPr>
        <w:t>neuroprotectors</w:t>
      </w:r>
      <w:proofErr w:type="spellEnd"/>
      <w:r w:rsidRPr="000D0EBA">
        <w:rPr>
          <w:rFonts w:ascii="Times New Roman" w:hAnsi="Times New Roman"/>
          <w:sz w:val="24"/>
          <w:szCs w:val="24"/>
          <w:lang w:val="en-US"/>
        </w:rPr>
        <w:t>. Safety and Risk of Pharmacotherapy. 2023</w:t>
      </w:r>
      <w:proofErr w:type="gramStart"/>
      <w:r w:rsidRPr="000D0EBA">
        <w:rPr>
          <w:rFonts w:ascii="Times New Roman" w:hAnsi="Times New Roman"/>
          <w:sz w:val="24"/>
          <w:szCs w:val="24"/>
          <w:lang w:val="en-US"/>
        </w:rPr>
        <w:t>;11</w:t>
      </w:r>
      <w:proofErr w:type="gramEnd"/>
      <w:r w:rsidRPr="000D0EBA">
        <w:rPr>
          <w:rFonts w:ascii="Times New Roman" w:hAnsi="Times New Roman"/>
          <w:sz w:val="24"/>
          <w:szCs w:val="24"/>
          <w:lang w:val="en-US"/>
        </w:rPr>
        <w:t>(2).</w:t>
      </w:r>
    </w:p>
    <w:sectPr w:rsidR="00142DD2" w:rsidRPr="00142DD2" w:rsidSect="00142DD2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13D36"/>
    <w:multiLevelType w:val="hybridMultilevel"/>
    <w:tmpl w:val="7F428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CA7C57"/>
    <w:rsid w:val="000D0EBA"/>
    <w:rsid w:val="00134314"/>
    <w:rsid w:val="00142DD2"/>
    <w:rsid w:val="004236C7"/>
    <w:rsid w:val="00572641"/>
    <w:rsid w:val="00661C52"/>
    <w:rsid w:val="0078293F"/>
    <w:rsid w:val="00823AA9"/>
    <w:rsid w:val="00933416"/>
    <w:rsid w:val="00CA7C57"/>
    <w:rsid w:val="00CB689A"/>
    <w:rsid w:val="00CD6C71"/>
    <w:rsid w:val="00D760DF"/>
    <w:rsid w:val="00F17522"/>
    <w:rsid w:val="00F43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5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7C5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A7C57"/>
    <w:pPr>
      <w:ind w:left="720"/>
      <w:contextualSpacing/>
    </w:pPr>
  </w:style>
  <w:style w:type="paragraph" w:customStyle="1" w:styleId="Normal1">
    <w:name w:val="Normal1"/>
    <w:rsid w:val="00CA7C5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table" w:styleId="a5">
    <w:name w:val="Table Grid"/>
    <w:basedOn w:val="a1"/>
    <w:uiPriority w:val="59"/>
    <w:rsid w:val="00CA7C5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0D0EB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1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Морозов</dc:creator>
  <cp:lastModifiedBy>Windows User</cp:lastModifiedBy>
  <cp:revision>2</cp:revision>
  <dcterms:created xsi:type="dcterms:W3CDTF">2023-03-18T16:27:00Z</dcterms:created>
  <dcterms:modified xsi:type="dcterms:W3CDTF">2023-03-18T16:27:00Z</dcterms:modified>
</cp:coreProperties>
</file>