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BB00" w14:textId="52449BB1" w:rsidR="00FF57DD" w:rsidRDefault="00FF57DD" w:rsidP="00FF57DD">
      <w:pPr>
        <w:jc w:val="center"/>
        <w:rPr>
          <w:b/>
          <w:bCs/>
        </w:rPr>
      </w:pPr>
      <w:r>
        <w:rPr>
          <w:b/>
          <w:bCs/>
        </w:rPr>
        <w:t xml:space="preserve">Синтез новых </w:t>
      </w:r>
      <w:proofErr w:type="spellStart"/>
      <w:r>
        <w:rPr>
          <w:b/>
          <w:bCs/>
        </w:rPr>
        <w:t>биодоступных</w:t>
      </w:r>
      <w:proofErr w:type="spellEnd"/>
      <w:r>
        <w:rPr>
          <w:b/>
          <w:bCs/>
        </w:rPr>
        <w:t xml:space="preserve"> аналогов </w:t>
      </w:r>
      <w:proofErr w:type="spellStart"/>
      <w:r>
        <w:rPr>
          <w:b/>
          <w:bCs/>
        </w:rPr>
        <w:t>Комбретастатина</w:t>
      </w:r>
      <w:proofErr w:type="spellEnd"/>
      <w:r>
        <w:rPr>
          <w:b/>
          <w:bCs/>
        </w:rPr>
        <w:t xml:space="preserve"> А4 ряда </w:t>
      </w:r>
      <w:proofErr w:type="spellStart"/>
      <w:r>
        <w:rPr>
          <w:b/>
          <w:bCs/>
        </w:rPr>
        <w:t>диарилизоксазола</w:t>
      </w:r>
      <w:bookmarkStart w:id="0" w:name="_GoBack"/>
      <w:bookmarkEnd w:id="0"/>
      <w:proofErr w:type="spellEnd"/>
    </w:p>
    <w:p w14:paraId="00000002" w14:textId="3A2EF25E" w:rsidR="00130241" w:rsidRPr="00FF57DD" w:rsidRDefault="00FF57DD" w:rsidP="00A121F2">
      <w:pPr>
        <w:jc w:val="center"/>
        <w:rPr>
          <w:b/>
          <w:bCs/>
          <w:i/>
          <w:vertAlign w:val="superscript"/>
        </w:rPr>
      </w:pPr>
      <w:r w:rsidRPr="00A121F2">
        <w:rPr>
          <w:b/>
          <w:bCs/>
          <w:i/>
        </w:rPr>
        <w:t>Мосейчева А.А.</w:t>
      </w:r>
      <w:r w:rsidRPr="00A121F2">
        <w:rPr>
          <w:b/>
          <w:bCs/>
          <w:i/>
          <w:vertAlign w:val="superscript"/>
        </w:rPr>
        <w:t>1</w:t>
      </w:r>
      <w:r w:rsidRPr="00100E16">
        <w:rPr>
          <w:b/>
          <w:bCs/>
          <w:i/>
        </w:rPr>
        <w:t>, Каретников Г.Л.</w:t>
      </w:r>
      <w:r w:rsidRPr="00100E16">
        <w:rPr>
          <w:b/>
          <w:bCs/>
          <w:i/>
          <w:vertAlign w:val="superscript"/>
        </w:rPr>
        <w:t>1</w:t>
      </w:r>
      <w:r w:rsidRPr="00100E16">
        <w:rPr>
          <w:b/>
          <w:bCs/>
          <w:i/>
        </w:rPr>
        <w:t>, Бондаренко О.Б.</w:t>
      </w:r>
      <w:r w:rsidRPr="00100E16">
        <w:rPr>
          <w:b/>
          <w:bCs/>
          <w:i/>
          <w:vertAlign w:val="superscript"/>
        </w:rPr>
        <w:t>1</w:t>
      </w:r>
    </w:p>
    <w:p w14:paraId="18D61497" w14:textId="77777777" w:rsidR="00FF57DD" w:rsidRDefault="00FF57DD" w:rsidP="00A1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67E0A60A" w14:textId="77777777" w:rsidR="00FF57DD" w:rsidRPr="00921D45" w:rsidRDefault="00FF57DD" w:rsidP="00A1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304ECEE3" w14:textId="77777777" w:rsidR="00FF57DD" w:rsidRPr="00391C38" w:rsidRDefault="00FF57DD" w:rsidP="00A12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ADA4293" w14:textId="08D9A363" w:rsidR="00CD00B1" w:rsidRPr="00A121F2" w:rsidRDefault="00EB1F49" w:rsidP="00FF5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F57DD">
        <w:rPr>
          <w:i/>
          <w:color w:val="000000"/>
          <w:lang w:val="en-US"/>
        </w:rPr>
        <w:t>E</w:t>
      </w:r>
      <w:r w:rsidR="003B76D6" w:rsidRPr="00A121F2">
        <w:rPr>
          <w:i/>
          <w:color w:val="000000"/>
        </w:rPr>
        <w:t>-</w:t>
      </w:r>
      <w:r w:rsidRPr="00FF57DD">
        <w:rPr>
          <w:i/>
          <w:color w:val="000000"/>
          <w:lang w:val="en-US"/>
        </w:rPr>
        <w:t>mail</w:t>
      </w:r>
      <w:r w:rsidRPr="00A121F2">
        <w:rPr>
          <w:i/>
          <w:color w:val="000000"/>
        </w:rPr>
        <w:t xml:space="preserve">: </w:t>
      </w:r>
      <w:proofErr w:type="spellStart"/>
      <w:r w:rsidR="00FF57DD">
        <w:rPr>
          <w:i/>
          <w:color w:val="000000"/>
          <w:u w:val="single"/>
          <w:lang w:val="en-US"/>
        </w:rPr>
        <w:t>mos</w:t>
      </w:r>
      <w:proofErr w:type="spellEnd"/>
      <w:r w:rsidR="00FF57DD" w:rsidRPr="00A121F2">
        <w:rPr>
          <w:i/>
          <w:color w:val="000000"/>
          <w:u w:val="single"/>
        </w:rPr>
        <w:t>_</w:t>
      </w:r>
      <w:proofErr w:type="spellStart"/>
      <w:r w:rsidR="00FF57DD">
        <w:rPr>
          <w:i/>
          <w:color w:val="000000"/>
          <w:u w:val="single"/>
          <w:lang w:val="en-US"/>
        </w:rPr>
        <w:t>ana</w:t>
      </w:r>
      <w:proofErr w:type="spellEnd"/>
      <w:r w:rsidR="00FF57DD" w:rsidRPr="00A121F2">
        <w:rPr>
          <w:i/>
          <w:color w:val="000000"/>
          <w:u w:val="single"/>
        </w:rPr>
        <w:t>@</w:t>
      </w:r>
      <w:r w:rsidR="00FF57DD">
        <w:rPr>
          <w:i/>
          <w:color w:val="000000"/>
          <w:u w:val="single"/>
          <w:lang w:val="en-US"/>
        </w:rPr>
        <w:t>mail</w:t>
      </w:r>
      <w:r w:rsidR="00FF57DD" w:rsidRPr="00A121F2">
        <w:rPr>
          <w:i/>
          <w:color w:val="000000"/>
          <w:u w:val="single"/>
        </w:rPr>
        <w:t>.</w:t>
      </w:r>
      <w:proofErr w:type="spellStart"/>
      <w:r w:rsidR="00FF57DD">
        <w:rPr>
          <w:i/>
          <w:color w:val="000000"/>
          <w:u w:val="single"/>
          <w:lang w:val="en-US"/>
        </w:rPr>
        <w:t>ru</w:t>
      </w:r>
      <w:proofErr w:type="spellEnd"/>
      <w:r w:rsidRPr="00A121F2">
        <w:rPr>
          <w:i/>
          <w:color w:val="000000"/>
        </w:rPr>
        <w:t xml:space="preserve"> </w:t>
      </w:r>
    </w:p>
    <w:p w14:paraId="586B3F3A" w14:textId="77777777" w:rsidR="00FF57DD" w:rsidRPr="00FF57DD" w:rsidRDefault="00FF57DD" w:rsidP="00FF5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57DD">
        <w:rPr>
          <w:color w:val="000000"/>
        </w:rPr>
        <w:t xml:space="preserve">Одними из многих перспективных противоопухолевых препаратов являются </w:t>
      </w:r>
      <w:proofErr w:type="spellStart"/>
      <w:r w:rsidRPr="00FF57DD">
        <w:rPr>
          <w:color w:val="000000"/>
        </w:rPr>
        <w:t>Комбретастатин</w:t>
      </w:r>
      <w:proofErr w:type="spellEnd"/>
      <w:r w:rsidRPr="00FF57DD">
        <w:rPr>
          <w:color w:val="000000"/>
        </w:rPr>
        <w:t xml:space="preserve"> А4 и его аналоги. Однако, из-за их низкой растворимости затрудняются клинические исследования и снижается </w:t>
      </w:r>
      <w:proofErr w:type="spellStart"/>
      <w:r w:rsidRPr="00FF57DD">
        <w:rPr>
          <w:color w:val="000000"/>
        </w:rPr>
        <w:t>биодоступность</w:t>
      </w:r>
      <w:proofErr w:type="spellEnd"/>
      <w:r w:rsidRPr="00FF57DD">
        <w:rPr>
          <w:color w:val="000000"/>
        </w:rPr>
        <w:t xml:space="preserve"> лекарственных препаратов. Исследования показывают, что введение </w:t>
      </w:r>
      <w:proofErr w:type="spellStart"/>
      <w:r w:rsidRPr="00FF57DD">
        <w:rPr>
          <w:color w:val="000000"/>
        </w:rPr>
        <w:t>амино</w:t>
      </w:r>
      <w:proofErr w:type="spellEnd"/>
      <w:r w:rsidRPr="00FF57DD">
        <w:rPr>
          <w:color w:val="000000"/>
        </w:rPr>
        <w:t>-фрагментов и аминокислот в молекулу значительно увеличивает их гидрофильность и, как следствие, растворимость [1,2].</w:t>
      </w:r>
    </w:p>
    <w:p w14:paraId="2565799A" w14:textId="77777777" w:rsidR="00FF57DD" w:rsidRPr="00FF57DD" w:rsidRDefault="00FF57DD" w:rsidP="00FF5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57DD">
        <w:rPr>
          <w:color w:val="000000"/>
        </w:rPr>
        <w:t xml:space="preserve">Ранее нами был разработан ряд подходов к новым аналогам </w:t>
      </w:r>
      <w:proofErr w:type="spellStart"/>
      <w:r w:rsidRPr="00FF57DD">
        <w:rPr>
          <w:color w:val="000000"/>
        </w:rPr>
        <w:t>Комбретастатина</w:t>
      </w:r>
      <w:proofErr w:type="spellEnd"/>
      <w:r w:rsidRPr="00FF57DD">
        <w:rPr>
          <w:color w:val="000000"/>
        </w:rPr>
        <w:t xml:space="preserve"> А4 на основе </w:t>
      </w:r>
      <w:proofErr w:type="spellStart"/>
      <w:r w:rsidRPr="00FF57DD">
        <w:rPr>
          <w:color w:val="000000"/>
        </w:rPr>
        <w:t>диарилизоксазолов</w:t>
      </w:r>
      <w:proofErr w:type="spellEnd"/>
      <w:r w:rsidRPr="00FF57DD">
        <w:rPr>
          <w:color w:val="000000"/>
        </w:rPr>
        <w:t xml:space="preserve">. Исследование серии полученных соединений </w:t>
      </w:r>
      <w:proofErr w:type="spellStart"/>
      <w:r w:rsidRPr="00FF57DD">
        <w:rPr>
          <w:color w:val="000000"/>
        </w:rPr>
        <w:t>in</w:t>
      </w:r>
      <w:proofErr w:type="spellEnd"/>
      <w:r w:rsidRPr="00FF57DD">
        <w:rPr>
          <w:color w:val="000000"/>
        </w:rPr>
        <w:t xml:space="preserve"> </w:t>
      </w:r>
      <w:proofErr w:type="spellStart"/>
      <w:r w:rsidRPr="00FF57DD">
        <w:rPr>
          <w:color w:val="000000"/>
        </w:rPr>
        <w:t>vitro</w:t>
      </w:r>
      <w:proofErr w:type="spellEnd"/>
      <w:r w:rsidRPr="00FF57DD">
        <w:rPr>
          <w:color w:val="000000"/>
        </w:rPr>
        <w:t>, позволило выявить два соединения-лидера, 3-(3-амино-4-метоксифенил)-4-(3,4,5-триметоксифенил)-5-хлоризоксазол и 3-(3-амино-4-метоксифенил)-5-(3,4,5-триметоксифенил)-</w:t>
      </w:r>
      <w:proofErr w:type="spellStart"/>
      <w:r w:rsidRPr="00FF57DD">
        <w:rPr>
          <w:color w:val="000000"/>
        </w:rPr>
        <w:t>изоксазол</w:t>
      </w:r>
      <w:proofErr w:type="spellEnd"/>
      <w:r w:rsidRPr="00FF57DD">
        <w:rPr>
          <w:color w:val="000000"/>
        </w:rPr>
        <w:t xml:space="preserve">, которые проявляют высокую </w:t>
      </w:r>
      <w:proofErr w:type="spellStart"/>
      <w:r w:rsidRPr="00FF57DD">
        <w:rPr>
          <w:color w:val="000000"/>
        </w:rPr>
        <w:t>цитотоксичность</w:t>
      </w:r>
      <w:proofErr w:type="spellEnd"/>
      <w:r w:rsidRPr="00FF57DD">
        <w:rPr>
          <w:color w:val="000000"/>
        </w:rPr>
        <w:t xml:space="preserve"> и селективность к опухолевым клеточным линиям. Однако полученные соединения показали крайне низкую </w:t>
      </w:r>
      <w:proofErr w:type="spellStart"/>
      <w:r w:rsidRPr="00FF57DD">
        <w:rPr>
          <w:color w:val="000000"/>
        </w:rPr>
        <w:t>водорастворимость</w:t>
      </w:r>
      <w:proofErr w:type="spellEnd"/>
      <w:r w:rsidRPr="00FF57DD">
        <w:rPr>
          <w:color w:val="000000"/>
        </w:rPr>
        <w:t xml:space="preserve">. </w:t>
      </w:r>
    </w:p>
    <w:p w14:paraId="68555CE6" w14:textId="1909060A" w:rsidR="009F3380" w:rsidRDefault="00FF57DD" w:rsidP="00FF5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57DD">
        <w:rPr>
          <w:color w:val="000000"/>
        </w:rPr>
        <w:tab/>
        <w:t xml:space="preserve">Настоящая работа посвящена синтезу </w:t>
      </w:r>
      <w:proofErr w:type="spellStart"/>
      <w:r w:rsidRPr="00FF57DD">
        <w:rPr>
          <w:color w:val="000000"/>
        </w:rPr>
        <w:t>биодоступных</w:t>
      </w:r>
      <w:proofErr w:type="spellEnd"/>
      <w:r w:rsidRPr="00FF57DD">
        <w:rPr>
          <w:color w:val="000000"/>
        </w:rPr>
        <w:t xml:space="preserve"> аналогов </w:t>
      </w:r>
      <w:proofErr w:type="spellStart"/>
      <w:r w:rsidRPr="00FF57DD">
        <w:rPr>
          <w:color w:val="000000"/>
        </w:rPr>
        <w:t>Комбретастатина</w:t>
      </w:r>
      <w:proofErr w:type="spellEnd"/>
      <w:r w:rsidRPr="00FF57DD">
        <w:rPr>
          <w:color w:val="000000"/>
        </w:rPr>
        <w:t xml:space="preserve"> А4 ряда </w:t>
      </w:r>
      <w:proofErr w:type="spellStart"/>
      <w:r w:rsidRPr="00FF57DD">
        <w:rPr>
          <w:color w:val="000000"/>
        </w:rPr>
        <w:t>диарилизоксазола</w:t>
      </w:r>
      <w:proofErr w:type="spellEnd"/>
      <w:r w:rsidRPr="00FF57DD">
        <w:rPr>
          <w:color w:val="000000"/>
        </w:rPr>
        <w:t xml:space="preserve"> посредством введения в 5-ое положение 3,4-диарилизоксазола </w:t>
      </w:r>
      <w:proofErr w:type="spellStart"/>
      <w:r w:rsidRPr="00FF57DD">
        <w:rPr>
          <w:color w:val="000000"/>
        </w:rPr>
        <w:t>амино-фрагменов</w:t>
      </w:r>
      <w:proofErr w:type="spellEnd"/>
      <w:r w:rsidRPr="00FF57DD">
        <w:rPr>
          <w:color w:val="000000"/>
        </w:rPr>
        <w:t xml:space="preserve"> и аминокислотного фрагмента в ароматическую </w:t>
      </w:r>
      <w:proofErr w:type="spellStart"/>
      <w:proofErr w:type="gramStart"/>
      <w:r w:rsidRPr="00FF57DD">
        <w:rPr>
          <w:color w:val="000000"/>
        </w:rPr>
        <w:t>амино</w:t>
      </w:r>
      <w:proofErr w:type="spellEnd"/>
      <w:r w:rsidRPr="00FF57DD">
        <w:rPr>
          <w:color w:val="000000"/>
        </w:rPr>
        <w:t>-группу</w:t>
      </w:r>
      <w:proofErr w:type="gramEnd"/>
      <w:r w:rsidRPr="00FF57DD">
        <w:rPr>
          <w:color w:val="000000"/>
        </w:rPr>
        <w:t>.</w:t>
      </w:r>
    </w:p>
    <w:p w14:paraId="0A396934" w14:textId="77777777" w:rsidR="00FF57DD" w:rsidRDefault="00FF57DD" w:rsidP="00FF57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AFDC3C2" w14:textId="6AA529CE" w:rsidR="00E22189" w:rsidRDefault="00FF57DD" w:rsidP="00A93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20BF141" wp14:editId="7C585818">
            <wp:extent cx="4441372" cy="25741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зисы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315" cy="260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C6BC" w14:textId="7DD2BF7C" w:rsidR="00FF57DD" w:rsidRPr="00A93CC7" w:rsidRDefault="00FF57DD" w:rsidP="00FF57DD">
      <w:pPr>
        <w:pStyle w:val="aa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3CC7">
        <w:rPr>
          <w:rFonts w:ascii="Times New Roman" w:hAnsi="Times New Roman" w:cs="Times New Roman"/>
          <w:color w:val="000000"/>
          <w:sz w:val="24"/>
          <w:szCs w:val="24"/>
        </w:rPr>
        <w:t xml:space="preserve">Схема 1. </w:t>
      </w:r>
      <w:r w:rsidRPr="00A93C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Синтез </w:t>
      </w:r>
      <w:proofErr w:type="spellStart"/>
      <w:r w:rsidRPr="00A93C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биодоступных</w:t>
      </w:r>
      <w:proofErr w:type="spellEnd"/>
      <w:r w:rsidRPr="00A93C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аналогов </w:t>
      </w:r>
      <w:proofErr w:type="spellStart"/>
      <w:r w:rsidRPr="00A93C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Комбретастатина</w:t>
      </w:r>
      <w:proofErr w:type="spellEnd"/>
      <w:r w:rsidRPr="00A93CC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А4.</w:t>
      </w:r>
    </w:p>
    <w:p w14:paraId="2D278E7E" w14:textId="77777777" w:rsidR="00FF57DD" w:rsidRPr="002D1B34" w:rsidRDefault="00FF57DD" w:rsidP="00FF57DD">
      <w:pPr>
        <w:pStyle w:val="a5"/>
        <w:spacing w:line="360" w:lineRule="auto"/>
        <w:ind w:left="0"/>
        <w:jc w:val="center"/>
      </w:pPr>
      <w:r w:rsidRPr="00391F86">
        <w:rPr>
          <w:i/>
          <w:iCs/>
        </w:rPr>
        <w:t>Работа выполнена при финансовой поддержке РФФИ</w:t>
      </w:r>
      <w:r>
        <w:rPr>
          <w:i/>
          <w:iCs/>
        </w:rPr>
        <w:t xml:space="preserve"> - </w:t>
      </w:r>
      <w:r w:rsidRPr="00391F86">
        <w:rPr>
          <w:i/>
          <w:iCs/>
        </w:rPr>
        <w:t>грант №20-33-90030</w:t>
      </w:r>
    </w:p>
    <w:p w14:paraId="0000000E" w14:textId="77777777" w:rsidR="00130241" w:rsidRPr="00FF57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8E2FBA2" w14:textId="79D1FED4" w:rsidR="00ED793F" w:rsidRDefault="00ED793F" w:rsidP="00ED79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</w:t>
      </w:r>
      <w:r w:rsidR="00FF57DD" w:rsidRPr="00FF57DD">
        <w:rPr>
          <w:noProof/>
          <w:lang w:val="en-US"/>
        </w:rPr>
        <w:t xml:space="preserve">. </w:t>
      </w:r>
      <w:r>
        <w:rPr>
          <w:noProof/>
          <w:lang w:val="en-US"/>
        </w:rPr>
        <w:t>Sanches Bruna M.A., Ferreira E.</w:t>
      </w:r>
      <w:r w:rsidRPr="00ED793F">
        <w:rPr>
          <w:noProof/>
          <w:lang w:val="en-US"/>
        </w:rPr>
        <w:t xml:space="preserve"> I. Is prodrug design an approach</w:t>
      </w:r>
      <w:r>
        <w:rPr>
          <w:noProof/>
          <w:lang w:val="en-US"/>
        </w:rPr>
        <w:t xml:space="preserve"> to increase water solubility? // </w:t>
      </w:r>
      <w:r w:rsidRPr="00ED793F">
        <w:rPr>
          <w:noProof/>
          <w:lang w:val="en-US"/>
        </w:rPr>
        <w:t>International Journal of Pharmaceutics</w:t>
      </w:r>
      <w:r>
        <w:rPr>
          <w:noProof/>
          <w:lang w:val="en-US"/>
        </w:rPr>
        <w:t>. 2019</w:t>
      </w:r>
      <w:r w:rsidRPr="00ED793F">
        <w:rPr>
          <w:noProof/>
          <w:lang w:val="en-US"/>
        </w:rPr>
        <w:t>.</w:t>
      </w:r>
      <w:r>
        <w:rPr>
          <w:noProof/>
          <w:lang w:val="en-US"/>
        </w:rPr>
        <w:t xml:space="preserve"> Vol</w:t>
      </w:r>
      <w:r w:rsidR="00080D7D" w:rsidRPr="00A121F2">
        <w:rPr>
          <w:noProof/>
          <w:lang w:val="en-US"/>
        </w:rPr>
        <w:t>.</w:t>
      </w:r>
      <w:r>
        <w:rPr>
          <w:noProof/>
          <w:lang w:val="en-US"/>
        </w:rPr>
        <w:t xml:space="preserve"> 568. P. 118498-118531.</w:t>
      </w:r>
    </w:p>
    <w:p w14:paraId="1DA2E7AA" w14:textId="1C519464" w:rsidR="00ED793F" w:rsidRDefault="00ED793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18112A">
        <w:rPr>
          <w:noProof/>
          <w:lang w:val="en-US"/>
        </w:rPr>
        <w:t xml:space="preserve">. Devkota L., </w:t>
      </w:r>
      <w:r w:rsidR="0018112A" w:rsidRPr="0018112A">
        <w:rPr>
          <w:noProof/>
          <w:lang w:val="en-US"/>
        </w:rPr>
        <w:t>Lin</w:t>
      </w:r>
      <w:r w:rsidR="0018112A">
        <w:rPr>
          <w:noProof/>
          <w:lang w:val="en-US"/>
        </w:rPr>
        <w:t xml:space="preserve"> Ch.-M., Strecker T. E., Wang Y., Tidmore J. K., Chen Zh., Guddneppanavar R., Jelinek Ch. J., Lopez R., Liu L.,</w:t>
      </w:r>
      <w:r w:rsidR="0018112A" w:rsidRPr="0018112A">
        <w:rPr>
          <w:noProof/>
          <w:lang w:val="en-US"/>
        </w:rPr>
        <w:t xml:space="preserve"> Ham</w:t>
      </w:r>
      <w:r w:rsidR="0018112A">
        <w:rPr>
          <w:noProof/>
          <w:lang w:val="en-US"/>
        </w:rPr>
        <w:t>el E., Mason R. P., Chaplin D. J., Trawick M. L., Pinn</w:t>
      </w:r>
    </w:p>
    <w:p w14:paraId="6CC01287" w14:textId="77D42341" w:rsidR="0018112A" w:rsidRPr="00ED793F" w:rsidRDefault="0018112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ey K.</w:t>
      </w:r>
      <w:r w:rsidR="00ED793F">
        <w:rPr>
          <w:noProof/>
          <w:lang w:val="en-US"/>
        </w:rPr>
        <w:t xml:space="preserve"> G.</w:t>
      </w:r>
      <w:r w:rsidRPr="0018112A">
        <w:rPr>
          <w:noProof/>
          <w:lang w:val="en-US"/>
        </w:rPr>
        <w:t xml:space="preserve"> Design, synthesis, and biological evaluation of water-soluble amino acid prodrug conjugates derived from combretastatin, dihydronaphthalene, and benzosuberene-based parent vascular disrupting agents</w:t>
      </w:r>
      <w:r w:rsidR="00ED793F">
        <w:rPr>
          <w:noProof/>
          <w:lang w:val="en-US"/>
        </w:rPr>
        <w:t xml:space="preserve">. // </w:t>
      </w:r>
      <w:r w:rsidRPr="0018112A">
        <w:rPr>
          <w:noProof/>
          <w:lang w:val="en-US"/>
        </w:rPr>
        <w:t>B</w:t>
      </w:r>
      <w:r w:rsidR="00ED793F">
        <w:rPr>
          <w:noProof/>
          <w:lang w:val="en-US"/>
        </w:rPr>
        <w:t>ioorganic &amp; Medicinal Chemistry.</w:t>
      </w:r>
      <w:r w:rsidRPr="0018112A">
        <w:rPr>
          <w:noProof/>
          <w:lang w:val="en-US"/>
        </w:rPr>
        <w:t xml:space="preserve"> </w:t>
      </w:r>
      <w:r w:rsidR="00ED793F">
        <w:rPr>
          <w:noProof/>
          <w:lang w:val="en-US"/>
        </w:rPr>
        <w:t>2016. Vol</w:t>
      </w:r>
      <w:r w:rsidR="00080D7D">
        <w:rPr>
          <w:noProof/>
        </w:rPr>
        <w:t>.</w:t>
      </w:r>
      <w:r w:rsidR="00A93CC7">
        <w:rPr>
          <w:noProof/>
          <w:lang w:val="en-US"/>
        </w:rPr>
        <w:t xml:space="preserve"> 24</w:t>
      </w:r>
      <w:r w:rsidR="00ED793F">
        <w:rPr>
          <w:noProof/>
          <w:lang w:val="en-US"/>
        </w:rPr>
        <w:t>. P.</w:t>
      </w:r>
      <w:r w:rsidRPr="00ED793F">
        <w:rPr>
          <w:noProof/>
          <w:lang w:val="en-US"/>
        </w:rPr>
        <w:t xml:space="preserve"> 938-956.</w:t>
      </w:r>
    </w:p>
    <w:p w14:paraId="6A1BE9F3" w14:textId="77777777" w:rsidR="00FF57DD" w:rsidRPr="00FF57DD" w:rsidRDefault="00FF57D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F57DD" w:rsidRPr="00FF57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95A90"/>
    <w:multiLevelType w:val="hybridMultilevel"/>
    <w:tmpl w:val="F83CA2BC"/>
    <w:lvl w:ilvl="0" w:tplc="9E523A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E8C"/>
    <w:rsid w:val="00063966"/>
    <w:rsid w:val="00080D7D"/>
    <w:rsid w:val="00086081"/>
    <w:rsid w:val="00101A1C"/>
    <w:rsid w:val="00106375"/>
    <w:rsid w:val="00116478"/>
    <w:rsid w:val="00130241"/>
    <w:rsid w:val="0018112A"/>
    <w:rsid w:val="001E61C2"/>
    <w:rsid w:val="001F0493"/>
    <w:rsid w:val="002264EE"/>
    <w:rsid w:val="0023307C"/>
    <w:rsid w:val="00234C90"/>
    <w:rsid w:val="0031361E"/>
    <w:rsid w:val="00322C57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121F2"/>
    <w:rsid w:val="00A314FE"/>
    <w:rsid w:val="00A93CC7"/>
    <w:rsid w:val="00B92B54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793F"/>
    <w:rsid w:val="00F865B3"/>
    <w:rsid w:val="00FB1509"/>
    <w:rsid w:val="00FF1903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FF57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BF23B6-5523-4B6F-8E40-56E1C44E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dcterms:created xsi:type="dcterms:W3CDTF">2023-02-16T14:51:00Z</dcterms:created>
  <dcterms:modified xsi:type="dcterms:W3CDTF">2023-03-13T14:11:00Z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