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967" w:rsidRPr="000106A5" w:rsidRDefault="000455B9" w:rsidP="004827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06A5">
        <w:rPr>
          <w:rFonts w:ascii="Times New Roman" w:hAnsi="Times New Roman" w:cs="Times New Roman"/>
          <w:b/>
          <w:bCs/>
          <w:sz w:val="24"/>
          <w:szCs w:val="24"/>
        </w:rPr>
        <w:t xml:space="preserve">Новые биядерные комплексы </w:t>
      </w:r>
      <w:r w:rsidRPr="000106A5">
        <w:rPr>
          <w:rFonts w:ascii="Times New Roman" w:hAnsi="Times New Roman" w:cs="Times New Roman"/>
          <w:b/>
          <w:bCs/>
          <w:sz w:val="24"/>
          <w:szCs w:val="24"/>
          <w:lang w:val="en-US"/>
        </w:rPr>
        <w:t>Pt</w:t>
      </w:r>
      <w:r w:rsidRPr="000106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106A5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0106A5">
        <w:rPr>
          <w:rFonts w:ascii="Times New Roman" w:hAnsi="Times New Roman" w:cs="Times New Roman"/>
          <w:b/>
          <w:bCs/>
          <w:sz w:val="24"/>
          <w:szCs w:val="24"/>
        </w:rPr>
        <w:t>) – синтез и противоопухолевая активность</w:t>
      </w:r>
    </w:p>
    <w:p w:rsidR="000455B9" w:rsidRPr="0032077E" w:rsidRDefault="000455B9" w:rsidP="0048279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07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Лихачев И.А., Павлова А.С.</w:t>
      </w:r>
      <w:r w:rsidR="005F6A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Подругина Т.А.</w:t>
      </w:r>
    </w:p>
    <w:p w:rsidR="000455B9" w:rsidRPr="0032077E" w:rsidRDefault="000455B9" w:rsidP="0048279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2077E">
        <w:rPr>
          <w:rFonts w:ascii="Times New Roman" w:hAnsi="Times New Roman" w:cs="Times New Roman"/>
          <w:i/>
          <w:iCs/>
          <w:sz w:val="24"/>
          <w:szCs w:val="24"/>
        </w:rPr>
        <w:t>Студент, 6 курс специалитета</w:t>
      </w:r>
    </w:p>
    <w:p w:rsidR="000455B9" w:rsidRPr="0032077E" w:rsidRDefault="000455B9" w:rsidP="0048279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2077E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  <w:r w:rsidR="00B72D7C" w:rsidRPr="0032077E">
        <w:rPr>
          <w:rFonts w:ascii="Times New Roman" w:hAnsi="Times New Roman" w:cs="Times New Roman"/>
          <w:i/>
          <w:iCs/>
          <w:sz w:val="24"/>
          <w:szCs w:val="24"/>
        </w:rPr>
        <w:br/>
        <w:t>химический факультет, Москва, Россия</w:t>
      </w:r>
    </w:p>
    <w:p w:rsidR="00B72D7C" w:rsidRPr="0032077E" w:rsidRDefault="00B72D7C" w:rsidP="0048279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32077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6" w:history="1">
        <w:r w:rsidRPr="0032077E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likhachev.ilya.andreevich@gmail.com</w:t>
        </w:r>
      </w:hyperlink>
    </w:p>
    <w:p w:rsidR="00B72D7C" w:rsidRDefault="00B72D7C" w:rsidP="00482798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сегодняшний день препараты платины занимают одно из важнейший мест в терапии онкологических заболеваний. Однако</w:t>
      </w:r>
      <w:r w:rsidR="00E376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несмотря на </w:t>
      </w:r>
      <w:r w:rsidR="002F4833">
        <w:rPr>
          <w:rFonts w:ascii="Times New Roman" w:hAnsi="Times New Roman" w:cs="Times New Roman"/>
          <w:sz w:val="24"/>
          <w:szCs w:val="24"/>
        </w:rPr>
        <w:t>широкое</w:t>
      </w:r>
      <w:r>
        <w:rPr>
          <w:rFonts w:ascii="Times New Roman" w:hAnsi="Times New Roman" w:cs="Times New Roman"/>
          <w:sz w:val="24"/>
          <w:szCs w:val="24"/>
        </w:rPr>
        <w:t xml:space="preserve"> клиническое </w:t>
      </w:r>
      <w:r w:rsidR="00482798">
        <w:rPr>
          <w:rFonts w:ascii="Times New Roman" w:hAnsi="Times New Roman" w:cs="Times New Roman"/>
          <w:sz w:val="24"/>
          <w:szCs w:val="24"/>
        </w:rPr>
        <w:t>применение цисплатина и его аналогов</w:t>
      </w:r>
      <w:r w:rsidR="002F4833">
        <w:rPr>
          <w:rFonts w:ascii="Times New Roman" w:hAnsi="Times New Roman" w:cs="Times New Roman"/>
          <w:sz w:val="24"/>
          <w:szCs w:val="24"/>
        </w:rPr>
        <w:t>,</w:t>
      </w:r>
      <w:r w:rsidR="00482798">
        <w:rPr>
          <w:rFonts w:ascii="Times New Roman" w:hAnsi="Times New Roman" w:cs="Times New Roman"/>
          <w:sz w:val="24"/>
          <w:szCs w:val="24"/>
        </w:rPr>
        <w:t xml:space="preserve"> </w:t>
      </w:r>
      <w:r w:rsidR="002F4833">
        <w:rPr>
          <w:rFonts w:ascii="Times New Roman" w:hAnsi="Times New Roman" w:cs="Times New Roman"/>
          <w:sz w:val="24"/>
          <w:szCs w:val="24"/>
        </w:rPr>
        <w:t>их использование имеет ряд</w:t>
      </w:r>
      <w:r w:rsidR="00482798">
        <w:rPr>
          <w:rFonts w:ascii="Times New Roman" w:hAnsi="Times New Roman" w:cs="Times New Roman"/>
          <w:sz w:val="24"/>
          <w:szCs w:val="24"/>
        </w:rPr>
        <w:t xml:space="preserve"> серьезных недостатков, к которым в первую очередь относят высокую нефро- и гепатотоксичность, а также формирование у опухолевых клеток резистентности к данным препаратам. По этим причинам разработка новых терапевтических соединений платины на сегодняшний день является актуальной задачей.</w:t>
      </w:r>
    </w:p>
    <w:p w:rsidR="00482798" w:rsidRDefault="00482798" w:rsidP="009A73F1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Перспективным направлением решения </w:t>
      </w:r>
      <w:r w:rsidR="002F4833">
        <w:rPr>
          <w:rFonts w:ascii="Times New Roman" w:hAnsi="Times New Roman" w:cs="Times New Roman"/>
          <w:sz w:val="24"/>
          <w:szCs w:val="24"/>
        </w:rPr>
        <w:t>этих</w:t>
      </w:r>
      <w:r>
        <w:rPr>
          <w:rFonts w:ascii="Times New Roman" w:hAnsi="Times New Roman" w:cs="Times New Roman"/>
          <w:sz w:val="24"/>
          <w:szCs w:val="24"/>
        </w:rPr>
        <w:t xml:space="preserve"> проблем является</w:t>
      </w:r>
      <w:r w:rsidR="00576602">
        <w:rPr>
          <w:rFonts w:ascii="Times New Roman" w:hAnsi="Times New Roman" w:cs="Times New Roman"/>
          <w:sz w:val="24"/>
          <w:szCs w:val="24"/>
        </w:rPr>
        <w:t xml:space="preserve"> введение двух и более атомов платины в одну молекулу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63A8">
        <w:rPr>
          <w:rFonts w:ascii="Times New Roman" w:hAnsi="Times New Roman" w:cs="Times New Roman"/>
          <w:sz w:val="24"/>
          <w:szCs w:val="24"/>
        </w:rPr>
        <w:t xml:space="preserve">т. е. создание полиядерных комплексов. </w:t>
      </w:r>
      <w:r w:rsidR="00576602">
        <w:rPr>
          <w:rFonts w:ascii="Times New Roman" w:hAnsi="Times New Roman" w:cs="Times New Roman"/>
          <w:sz w:val="24"/>
          <w:szCs w:val="24"/>
        </w:rPr>
        <w:t xml:space="preserve">Структурный дизайн таких соединений </w:t>
      </w:r>
      <w:r w:rsidR="009A73F1">
        <w:rPr>
          <w:rFonts w:ascii="Times New Roman" w:hAnsi="Times New Roman" w:cs="Times New Roman"/>
          <w:sz w:val="24"/>
          <w:szCs w:val="24"/>
        </w:rPr>
        <w:t xml:space="preserve">включает два подхода: </w:t>
      </w:r>
      <w:r w:rsidR="00E37644">
        <w:rPr>
          <w:rFonts w:ascii="Times New Roman" w:hAnsi="Times New Roman" w:cs="Times New Roman"/>
          <w:sz w:val="24"/>
          <w:szCs w:val="24"/>
        </w:rPr>
        <w:t xml:space="preserve">использование в качестве линкера </w:t>
      </w:r>
      <w:r w:rsidR="009A73F1">
        <w:rPr>
          <w:rFonts w:ascii="Times New Roman" w:hAnsi="Times New Roman" w:cs="Times New Roman"/>
          <w:sz w:val="24"/>
          <w:szCs w:val="24"/>
        </w:rPr>
        <w:t>азотсодержащ</w:t>
      </w:r>
      <w:r w:rsidR="007F686E">
        <w:rPr>
          <w:rFonts w:ascii="Times New Roman" w:hAnsi="Times New Roman" w:cs="Times New Roman"/>
          <w:sz w:val="24"/>
          <w:szCs w:val="24"/>
        </w:rPr>
        <w:t>его</w:t>
      </w:r>
      <w:r w:rsidR="009A73F1">
        <w:rPr>
          <w:rFonts w:ascii="Times New Roman" w:hAnsi="Times New Roman" w:cs="Times New Roman"/>
          <w:sz w:val="24"/>
          <w:szCs w:val="24"/>
        </w:rPr>
        <w:t xml:space="preserve"> лиганд</w:t>
      </w:r>
      <w:r w:rsidR="007F686E">
        <w:rPr>
          <w:rFonts w:ascii="Times New Roman" w:hAnsi="Times New Roman" w:cs="Times New Roman"/>
          <w:sz w:val="24"/>
          <w:szCs w:val="24"/>
        </w:rPr>
        <w:t>а</w:t>
      </w:r>
      <w:r w:rsidR="009A73F1">
        <w:rPr>
          <w:rFonts w:ascii="Times New Roman" w:hAnsi="Times New Roman" w:cs="Times New Roman"/>
          <w:sz w:val="24"/>
          <w:szCs w:val="24"/>
        </w:rPr>
        <w:t>-носител</w:t>
      </w:r>
      <w:r w:rsidR="007F686E">
        <w:rPr>
          <w:rFonts w:ascii="Times New Roman" w:hAnsi="Times New Roman" w:cs="Times New Roman"/>
          <w:sz w:val="24"/>
          <w:szCs w:val="24"/>
        </w:rPr>
        <w:t>я</w:t>
      </w:r>
      <w:r w:rsidR="009A73F1">
        <w:rPr>
          <w:rFonts w:ascii="Times New Roman" w:hAnsi="Times New Roman" w:cs="Times New Roman"/>
          <w:sz w:val="24"/>
          <w:szCs w:val="24"/>
        </w:rPr>
        <w:t xml:space="preserve"> либо лиганд</w:t>
      </w:r>
      <w:r w:rsidR="007F686E">
        <w:rPr>
          <w:rFonts w:ascii="Times New Roman" w:hAnsi="Times New Roman" w:cs="Times New Roman"/>
          <w:sz w:val="24"/>
          <w:szCs w:val="24"/>
        </w:rPr>
        <w:t>а</w:t>
      </w:r>
      <w:r w:rsidR="009A73F1">
        <w:rPr>
          <w:rFonts w:ascii="Times New Roman" w:hAnsi="Times New Roman" w:cs="Times New Roman"/>
          <w:sz w:val="24"/>
          <w:szCs w:val="24"/>
        </w:rPr>
        <w:t>-уходящ</w:t>
      </w:r>
      <w:r w:rsidR="007F686E">
        <w:rPr>
          <w:rFonts w:ascii="Times New Roman" w:hAnsi="Times New Roman" w:cs="Times New Roman"/>
          <w:sz w:val="24"/>
          <w:szCs w:val="24"/>
        </w:rPr>
        <w:t>ей</w:t>
      </w:r>
      <w:r w:rsidR="009A73F1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7F686E">
        <w:rPr>
          <w:rFonts w:ascii="Times New Roman" w:hAnsi="Times New Roman" w:cs="Times New Roman"/>
          <w:sz w:val="24"/>
          <w:szCs w:val="24"/>
        </w:rPr>
        <w:t>ы</w:t>
      </w:r>
      <w:r w:rsidR="009A73F1">
        <w:rPr>
          <w:rFonts w:ascii="Times New Roman" w:hAnsi="Times New Roman" w:cs="Times New Roman"/>
          <w:sz w:val="24"/>
          <w:szCs w:val="24"/>
        </w:rPr>
        <w:t xml:space="preserve">. </w:t>
      </w:r>
      <w:r w:rsidR="00A663A8" w:rsidRPr="009A73F1">
        <w:rPr>
          <w:rFonts w:ascii="Times New Roman" w:hAnsi="Times New Roman" w:cs="Times New Roman"/>
          <w:sz w:val="24"/>
          <w:szCs w:val="24"/>
        </w:rPr>
        <w:t>Было показано</w:t>
      </w:r>
      <w:r w:rsidR="002A4E02">
        <w:rPr>
          <w:rFonts w:ascii="Times New Roman" w:hAnsi="Times New Roman" w:cs="Times New Roman"/>
          <w:sz w:val="24"/>
          <w:szCs w:val="24"/>
        </w:rPr>
        <w:t> </w:t>
      </w:r>
      <w:r w:rsidR="00A663A8" w:rsidRPr="009A73F1">
        <w:rPr>
          <w:rFonts w:ascii="Times New Roman" w:hAnsi="Times New Roman" w:cs="Times New Roman"/>
          <w:sz w:val="24"/>
          <w:szCs w:val="24"/>
        </w:rPr>
        <w:t>[</w:t>
      </w:r>
      <w:r w:rsidR="005F6A18" w:rsidRPr="009A73F1">
        <w:rPr>
          <w:rFonts w:ascii="Times New Roman" w:hAnsi="Times New Roman" w:cs="Times New Roman"/>
          <w:sz w:val="24"/>
          <w:szCs w:val="24"/>
        </w:rPr>
        <w:t>1</w:t>
      </w:r>
      <w:r w:rsidR="00A663A8" w:rsidRPr="009A73F1">
        <w:rPr>
          <w:rFonts w:ascii="Times New Roman" w:hAnsi="Times New Roman" w:cs="Times New Roman"/>
          <w:sz w:val="24"/>
          <w:szCs w:val="24"/>
        </w:rPr>
        <w:t xml:space="preserve">], что </w:t>
      </w:r>
      <w:r w:rsidR="009A73F1" w:rsidRPr="009A73F1">
        <w:rPr>
          <w:rFonts w:ascii="Times New Roman" w:hAnsi="Times New Roman" w:cs="Times New Roman"/>
          <w:sz w:val="24"/>
          <w:szCs w:val="24"/>
        </w:rPr>
        <w:t>би- и полиядерные</w:t>
      </w:r>
      <w:r w:rsidR="000106A5" w:rsidRPr="009A73F1">
        <w:rPr>
          <w:rFonts w:ascii="Times New Roman" w:hAnsi="Times New Roman" w:cs="Times New Roman"/>
          <w:sz w:val="24"/>
          <w:szCs w:val="24"/>
        </w:rPr>
        <w:t xml:space="preserve"> </w:t>
      </w:r>
      <w:r w:rsidR="00A663A8" w:rsidRPr="009A73F1">
        <w:rPr>
          <w:rFonts w:ascii="Times New Roman" w:hAnsi="Times New Roman" w:cs="Times New Roman"/>
          <w:sz w:val="24"/>
          <w:szCs w:val="24"/>
        </w:rPr>
        <w:t>соединения платины</w:t>
      </w:r>
      <w:r w:rsidR="000106A5" w:rsidRPr="009A73F1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9A7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3F1">
        <w:rPr>
          <w:rFonts w:ascii="Times New Roman" w:hAnsi="Times New Roman" w:cs="Times New Roman"/>
          <w:sz w:val="24"/>
          <w:szCs w:val="24"/>
        </w:rPr>
        <w:t>линкерного</w:t>
      </w:r>
      <w:proofErr w:type="spellEnd"/>
      <w:r w:rsidR="000106A5" w:rsidRPr="009A73F1">
        <w:rPr>
          <w:rFonts w:ascii="Times New Roman" w:hAnsi="Times New Roman" w:cs="Times New Roman"/>
          <w:sz w:val="24"/>
          <w:szCs w:val="24"/>
        </w:rPr>
        <w:t xml:space="preserve"> азотсодержащего лиганда </w:t>
      </w:r>
      <w:r w:rsidR="00EA139D" w:rsidRPr="009A73F1">
        <w:rPr>
          <w:rFonts w:ascii="Times New Roman" w:hAnsi="Times New Roman" w:cs="Times New Roman"/>
          <w:sz w:val="24"/>
          <w:szCs w:val="24"/>
        </w:rPr>
        <w:t>могут существенно превосходить клинически одобренный цисплатин по антипролиферативной активности, которая сохраняется в том числе в отношении резистентных к платине клеточных линий рака.</w:t>
      </w:r>
      <w:r w:rsidR="000106A5" w:rsidRPr="009A73F1">
        <w:rPr>
          <w:rFonts w:ascii="Times New Roman" w:hAnsi="Times New Roman" w:cs="Times New Roman"/>
          <w:sz w:val="24"/>
          <w:szCs w:val="24"/>
        </w:rPr>
        <w:t xml:space="preserve"> Биядерные комплексы платины на основе линкера</w:t>
      </w:r>
      <w:r w:rsidR="00D739DA" w:rsidRPr="009A73F1">
        <w:rPr>
          <w:rFonts w:ascii="Times New Roman" w:hAnsi="Times New Roman" w:cs="Times New Roman"/>
          <w:sz w:val="24"/>
          <w:szCs w:val="24"/>
        </w:rPr>
        <w:t>-уходящей группы</w:t>
      </w:r>
      <w:r w:rsidR="000106A5" w:rsidRPr="009A73F1">
        <w:rPr>
          <w:rFonts w:ascii="Times New Roman" w:hAnsi="Times New Roman" w:cs="Times New Roman"/>
          <w:sz w:val="24"/>
          <w:szCs w:val="24"/>
        </w:rPr>
        <w:t xml:space="preserve"> – перспективные средства </w:t>
      </w:r>
      <w:proofErr w:type="spellStart"/>
      <w:r w:rsidR="000106A5" w:rsidRPr="009A73F1">
        <w:rPr>
          <w:rFonts w:ascii="Times New Roman" w:hAnsi="Times New Roman" w:cs="Times New Roman"/>
          <w:sz w:val="24"/>
          <w:szCs w:val="24"/>
        </w:rPr>
        <w:t>тераностики</w:t>
      </w:r>
      <w:proofErr w:type="spellEnd"/>
      <w:r w:rsidR="000106A5" w:rsidRPr="009A73F1">
        <w:rPr>
          <w:rFonts w:ascii="Times New Roman" w:hAnsi="Times New Roman" w:cs="Times New Roman"/>
          <w:sz w:val="24"/>
          <w:szCs w:val="24"/>
        </w:rPr>
        <w:t xml:space="preserve"> и комбинированной терапии онкологических заболеваний [</w:t>
      </w:r>
      <w:r w:rsidR="005F6A18" w:rsidRPr="009A73F1">
        <w:rPr>
          <w:rFonts w:ascii="Times New Roman" w:hAnsi="Times New Roman" w:cs="Times New Roman"/>
          <w:sz w:val="24"/>
          <w:szCs w:val="24"/>
        </w:rPr>
        <w:t>2</w:t>
      </w:r>
      <w:r w:rsidR="000106A5" w:rsidRPr="009A73F1">
        <w:rPr>
          <w:rFonts w:ascii="Times New Roman" w:hAnsi="Times New Roman" w:cs="Times New Roman"/>
          <w:sz w:val="24"/>
          <w:szCs w:val="24"/>
        </w:rPr>
        <w:t>].</w:t>
      </w:r>
    </w:p>
    <w:p w:rsidR="002A4E02" w:rsidRPr="00D70376" w:rsidRDefault="009A73F1" w:rsidP="002A4E02">
      <w:pPr>
        <w:spacing w:after="12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работе реализованы оба синтетических подхода </w:t>
      </w:r>
      <w:r w:rsidR="00192423">
        <w:rPr>
          <w:rFonts w:ascii="Times New Roman" w:hAnsi="Times New Roman" w:cs="Times New Roman"/>
          <w:sz w:val="24"/>
          <w:szCs w:val="24"/>
        </w:rPr>
        <w:t xml:space="preserve">на примере серии </w:t>
      </w:r>
      <w:r w:rsidR="00772B64">
        <w:rPr>
          <w:rFonts w:ascii="Times New Roman" w:hAnsi="Times New Roman" w:cs="Times New Roman"/>
          <w:sz w:val="24"/>
          <w:szCs w:val="24"/>
        </w:rPr>
        <w:t xml:space="preserve">новых </w:t>
      </w:r>
      <w:r w:rsidR="00192423">
        <w:rPr>
          <w:rFonts w:ascii="Times New Roman" w:hAnsi="Times New Roman" w:cs="Times New Roman"/>
          <w:sz w:val="24"/>
          <w:szCs w:val="24"/>
        </w:rPr>
        <w:t xml:space="preserve">биядерных комплексов </w:t>
      </w:r>
      <w:r w:rsidR="00192423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192423" w:rsidRPr="00192423">
        <w:rPr>
          <w:rFonts w:ascii="Times New Roman" w:hAnsi="Times New Roman" w:cs="Times New Roman"/>
          <w:sz w:val="24"/>
          <w:szCs w:val="24"/>
        </w:rPr>
        <w:t>(</w:t>
      </w:r>
      <w:r w:rsidR="0019242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92423" w:rsidRPr="00192423">
        <w:rPr>
          <w:rFonts w:ascii="Times New Roman" w:hAnsi="Times New Roman" w:cs="Times New Roman"/>
          <w:sz w:val="24"/>
          <w:szCs w:val="24"/>
        </w:rPr>
        <w:t xml:space="preserve">) </w:t>
      </w:r>
      <w:r w:rsidR="00E37644">
        <w:rPr>
          <w:rFonts w:ascii="Times New Roman" w:hAnsi="Times New Roman" w:cs="Times New Roman"/>
          <w:sz w:val="24"/>
          <w:szCs w:val="24"/>
        </w:rPr>
        <w:t>на</w:t>
      </w:r>
      <w:r w:rsidR="00192423">
        <w:rPr>
          <w:rFonts w:ascii="Times New Roman" w:hAnsi="Times New Roman" w:cs="Times New Roman"/>
          <w:sz w:val="24"/>
          <w:szCs w:val="24"/>
        </w:rPr>
        <w:t xml:space="preserve"> основе </w:t>
      </w:r>
      <w:r w:rsidR="00772B64">
        <w:rPr>
          <w:rFonts w:ascii="Times New Roman" w:hAnsi="Times New Roman" w:cs="Times New Roman"/>
          <w:sz w:val="24"/>
          <w:szCs w:val="24"/>
        </w:rPr>
        <w:t xml:space="preserve">ковалентно связанных молекул гистамина в качестве азотсодержащего лиганда-носителя (схема 1, </w:t>
      </w:r>
      <w:r w:rsidR="00772B6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72B64">
        <w:rPr>
          <w:rFonts w:ascii="Times New Roman" w:hAnsi="Times New Roman" w:cs="Times New Roman"/>
          <w:sz w:val="24"/>
          <w:szCs w:val="24"/>
        </w:rPr>
        <w:t>)</w:t>
      </w:r>
      <w:r w:rsidR="00772B64" w:rsidRPr="00772B64">
        <w:rPr>
          <w:rFonts w:ascii="Times New Roman" w:hAnsi="Times New Roman" w:cs="Times New Roman"/>
          <w:sz w:val="24"/>
          <w:szCs w:val="24"/>
        </w:rPr>
        <w:t xml:space="preserve"> </w:t>
      </w:r>
      <w:r w:rsidR="00772B64">
        <w:rPr>
          <w:rFonts w:ascii="Times New Roman" w:hAnsi="Times New Roman" w:cs="Times New Roman"/>
          <w:sz w:val="24"/>
          <w:szCs w:val="24"/>
        </w:rPr>
        <w:t xml:space="preserve">и серии комплексов </w:t>
      </w:r>
      <w:r w:rsidR="00772B64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772B64" w:rsidRPr="00772B64">
        <w:rPr>
          <w:rFonts w:ascii="Times New Roman" w:hAnsi="Times New Roman" w:cs="Times New Roman"/>
          <w:sz w:val="24"/>
          <w:szCs w:val="24"/>
        </w:rPr>
        <w:t>(</w:t>
      </w:r>
      <w:r w:rsidR="00772B6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72B64" w:rsidRPr="00772B64">
        <w:rPr>
          <w:rFonts w:ascii="Times New Roman" w:hAnsi="Times New Roman" w:cs="Times New Roman"/>
          <w:sz w:val="24"/>
          <w:szCs w:val="24"/>
        </w:rPr>
        <w:t xml:space="preserve">) </w:t>
      </w:r>
      <w:r w:rsidR="00772B64">
        <w:rPr>
          <w:rFonts w:ascii="Times New Roman" w:hAnsi="Times New Roman" w:cs="Times New Roman"/>
          <w:sz w:val="24"/>
          <w:szCs w:val="24"/>
        </w:rPr>
        <w:t xml:space="preserve">с </w:t>
      </w:r>
      <w:r w:rsidR="00772B6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772B64" w:rsidRPr="00772B64">
        <w:rPr>
          <w:rFonts w:ascii="Times New Roman" w:hAnsi="Times New Roman" w:cs="Times New Roman"/>
          <w:sz w:val="24"/>
          <w:szCs w:val="24"/>
        </w:rPr>
        <w:t>-</w:t>
      </w:r>
      <w:r w:rsidR="00772B64">
        <w:rPr>
          <w:rFonts w:ascii="Times New Roman" w:hAnsi="Times New Roman" w:cs="Times New Roman"/>
          <w:sz w:val="24"/>
          <w:szCs w:val="24"/>
        </w:rPr>
        <w:t>замещенными пиразолами и пиромеллитовой кислотой в качестве линкера-уходящей группы. Для полученных соединений был</w:t>
      </w:r>
      <w:r w:rsidR="002A4E02">
        <w:rPr>
          <w:rFonts w:ascii="Times New Roman" w:hAnsi="Times New Roman" w:cs="Times New Roman"/>
          <w:sz w:val="24"/>
          <w:szCs w:val="24"/>
        </w:rPr>
        <w:t xml:space="preserve">а оценена противоопухолевая активность; в частности, для биядерных комплексов с производным гистамина выявлено существенное увеличение цитотоксичности по сравнению с их </w:t>
      </w:r>
      <w:proofErr w:type="spellStart"/>
      <w:r w:rsidR="002A4E02">
        <w:rPr>
          <w:rFonts w:ascii="Times New Roman" w:hAnsi="Times New Roman" w:cs="Times New Roman"/>
          <w:sz w:val="24"/>
          <w:szCs w:val="24"/>
        </w:rPr>
        <w:t>моноядерными</w:t>
      </w:r>
      <w:proofErr w:type="spellEnd"/>
      <w:r w:rsidR="002A4E02">
        <w:rPr>
          <w:rFonts w:ascii="Times New Roman" w:hAnsi="Times New Roman" w:cs="Times New Roman"/>
          <w:sz w:val="24"/>
          <w:szCs w:val="24"/>
        </w:rPr>
        <w:t xml:space="preserve"> аналогами.</w:t>
      </w:r>
    </w:p>
    <w:p w:rsidR="00D739DA" w:rsidRDefault="00D739DA" w:rsidP="00302B5C">
      <w:pPr>
        <w:spacing w:after="0"/>
        <w:ind w:firstLine="39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42E141">
            <wp:extent cx="5104765" cy="1352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6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077E" w:rsidRDefault="000215C9" w:rsidP="0032077E">
      <w:pPr>
        <w:spacing w:after="120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1. Структуры синтезированных биядерных комплексов </w:t>
      </w:r>
      <w:r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0215C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215C9">
        <w:rPr>
          <w:rFonts w:ascii="Times New Roman" w:hAnsi="Times New Roman" w:cs="Times New Roman"/>
          <w:sz w:val="24"/>
          <w:szCs w:val="24"/>
        </w:rPr>
        <w:t>)</w:t>
      </w:r>
    </w:p>
    <w:p w:rsidR="000215C9" w:rsidRPr="0032077E" w:rsidRDefault="000215C9" w:rsidP="00302B5C">
      <w:pPr>
        <w:spacing w:after="0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77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470166" w:rsidRDefault="00470166" w:rsidP="0047016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Erica J. Peterson, Vijay R. Menon, Laura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Gatti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Ralph Kipping,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Dilhara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Dewasinghe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Paola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Pegero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Lawrence 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Povirk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and Nicholas P.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Farrel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Nucleolar Targeting by Platinum: p53-Independent Apoptosis Follows rRNA Inhibition, Cell-Cycle Arrest, and DNA Compaction // Mol. Pharmaceutics 2015. Vol. 12. P. 287 – 297.</w:t>
      </w:r>
    </w:p>
    <w:p w:rsidR="0032077E" w:rsidRPr="0032077E" w:rsidRDefault="0032077E" w:rsidP="0032077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077E">
        <w:rPr>
          <w:rFonts w:ascii="Times New Roman" w:hAnsi="Times New Roman" w:cs="Times New Roman"/>
          <w:sz w:val="24"/>
          <w:szCs w:val="24"/>
          <w:lang w:val="en-US"/>
        </w:rPr>
        <w:t xml:space="preserve">Vanitha </w:t>
      </w:r>
      <w:proofErr w:type="spellStart"/>
      <w:r w:rsidRPr="0032077E">
        <w:rPr>
          <w:rFonts w:ascii="Times New Roman" w:hAnsi="Times New Roman" w:cs="Times New Roman"/>
          <w:sz w:val="24"/>
          <w:szCs w:val="24"/>
          <w:lang w:val="en-US"/>
        </w:rPr>
        <w:t>Ramu</w:t>
      </w:r>
      <w:proofErr w:type="spellEnd"/>
      <w:r w:rsidRPr="0032077E">
        <w:rPr>
          <w:rFonts w:ascii="Times New Roman" w:hAnsi="Times New Roman" w:cs="Times New Roman"/>
          <w:sz w:val="24"/>
          <w:szCs w:val="24"/>
          <w:lang w:val="en-US"/>
        </w:rPr>
        <w:t xml:space="preserve">, Srishti Gautam, </w:t>
      </w:r>
      <w:proofErr w:type="spellStart"/>
      <w:r w:rsidRPr="0032077E">
        <w:rPr>
          <w:rFonts w:ascii="Times New Roman" w:hAnsi="Times New Roman" w:cs="Times New Roman"/>
          <w:sz w:val="24"/>
          <w:szCs w:val="24"/>
          <w:lang w:val="en-US"/>
        </w:rPr>
        <w:t>Paturu</w:t>
      </w:r>
      <w:proofErr w:type="spellEnd"/>
      <w:r w:rsidRPr="003207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077E">
        <w:rPr>
          <w:rFonts w:ascii="Times New Roman" w:hAnsi="Times New Roman" w:cs="Times New Roman"/>
          <w:sz w:val="24"/>
          <w:szCs w:val="24"/>
          <w:lang w:val="en-US"/>
        </w:rPr>
        <w:t>Kondaiah</w:t>
      </w:r>
      <w:proofErr w:type="spellEnd"/>
      <w:r w:rsidRPr="0032077E">
        <w:rPr>
          <w:rFonts w:ascii="Times New Roman" w:hAnsi="Times New Roman" w:cs="Times New Roman"/>
          <w:sz w:val="24"/>
          <w:szCs w:val="24"/>
          <w:lang w:val="en-US"/>
        </w:rPr>
        <w:t>, and Akhil R. Chakravarty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32077E">
        <w:rPr>
          <w:rFonts w:ascii="Times New Roman" w:hAnsi="Times New Roman" w:cs="Times New Roman"/>
          <w:sz w:val="24"/>
          <w:szCs w:val="24"/>
          <w:lang w:val="en-US"/>
        </w:rPr>
        <w:t>Diplatinum(</w:t>
      </w:r>
      <w:proofErr w:type="gramEnd"/>
      <w:r w:rsidRPr="0032077E">
        <w:rPr>
          <w:rFonts w:ascii="Times New Roman" w:hAnsi="Times New Roman" w:cs="Times New Roman"/>
          <w:sz w:val="24"/>
          <w:szCs w:val="24"/>
          <w:lang w:val="en-US"/>
        </w:rPr>
        <w:t>II) Catecholate of Photoactive Boron-Dipyrromethene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077E">
        <w:rPr>
          <w:rFonts w:ascii="Times New Roman" w:hAnsi="Times New Roman" w:cs="Times New Roman"/>
          <w:sz w:val="24"/>
          <w:szCs w:val="24"/>
          <w:lang w:val="en-US"/>
        </w:rPr>
        <w:t>for Lysosome-Targeted Photodynamic Therapy in Red 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32077E">
        <w:rPr>
          <w:rFonts w:ascii="Times New Roman" w:hAnsi="Times New Roman" w:cs="Times New Roman"/>
          <w:sz w:val="24"/>
          <w:szCs w:val="24"/>
          <w:lang w:val="en-US"/>
        </w:rPr>
        <w:t>Inorg</w:t>
      </w:r>
      <w:proofErr w:type="spellEnd"/>
      <w:r w:rsidRPr="0032077E">
        <w:rPr>
          <w:rFonts w:ascii="Times New Roman" w:hAnsi="Times New Roman" w:cs="Times New Roman"/>
          <w:sz w:val="24"/>
          <w:szCs w:val="24"/>
          <w:lang w:val="en-US"/>
        </w:rPr>
        <w:t xml:space="preserve">. Chem. 2019,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Vol. </w:t>
      </w:r>
      <w:r w:rsidRPr="0032077E">
        <w:rPr>
          <w:rFonts w:ascii="Times New Roman" w:hAnsi="Times New Roman" w:cs="Times New Roman"/>
          <w:sz w:val="24"/>
          <w:szCs w:val="24"/>
          <w:lang w:val="en-US"/>
        </w:rPr>
        <w:t xml:space="preserve">58,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32077E">
        <w:rPr>
          <w:rFonts w:ascii="Times New Roman" w:hAnsi="Times New Roman" w:cs="Times New Roman"/>
          <w:sz w:val="24"/>
          <w:szCs w:val="24"/>
          <w:lang w:val="en-US"/>
        </w:rPr>
        <w:t xml:space="preserve">14, </w:t>
      </w:r>
      <w:r>
        <w:rPr>
          <w:rFonts w:ascii="Times New Roman" w:hAnsi="Times New Roman" w:cs="Times New Roman"/>
          <w:sz w:val="24"/>
          <w:szCs w:val="24"/>
          <w:lang w:val="en-US"/>
        </w:rPr>
        <w:t>P. </w:t>
      </w:r>
      <w:r w:rsidRPr="0032077E">
        <w:rPr>
          <w:rFonts w:ascii="Times New Roman" w:hAnsi="Times New Roman" w:cs="Times New Roman"/>
          <w:sz w:val="24"/>
          <w:szCs w:val="24"/>
          <w:lang w:val="en-US"/>
        </w:rPr>
        <w:t>9067</w:t>
      </w:r>
      <w:r w:rsidR="007F686E">
        <w:rPr>
          <w:rFonts w:ascii="Times New Roman" w:hAnsi="Times New Roman" w:cs="Times New Roman"/>
          <w:sz w:val="24"/>
          <w:szCs w:val="24"/>
        </w:rPr>
        <w:t xml:space="preserve"> </w:t>
      </w:r>
      <w:r w:rsidRPr="0032077E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7F686E">
        <w:rPr>
          <w:rFonts w:ascii="Times New Roman" w:hAnsi="Times New Roman" w:cs="Times New Roman"/>
          <w:sz w:val="24"/>
          <w:szCs w:val="24"/>
        </w:rPr>
        <w:t xml:space="preserve"> </w:t>
      </w:r>
      <w:r w:rsidRPr="0032077E">
        <w:rPr>
          <w:rFonts w:ascii="Times New Roman" w:hAnsi="Times New Roman" w:cs="Times New Roman"/>
          <w:sz w:val="24"/>
          <w:szCs w:val="24"/>
          <w:lang w:val="en-US"/>
        </w:rPr>
        <w:t>9075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32077E" w:rsidRPr="0032077E" w:rsidSect="00B72D7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16D3D"/>
    <w:multiLevelType w:val="hybridMultilevel"/>
    <w:tmpl w:val="3606CC7C"/>
    <w:lvl w:ilvl="0" w:tplc="DA9AE1E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69665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B9"/>
    <w:rsid w:val="000106A5"/>
    <w:rsid w:val="000215C9"/>
    <w:rsid w:val="000455B9"/>
    <w:rsid w:val="00057AA5"/>
    <w:rsid w:val="000F2967"/>
    <w:rsid w:val="00174045"/>
    <w:rsid w:val="00192423"/>
    <w:rsid w:val="00200305"/>
    <w:rsid w:val="002126FE"/>
    <w:rsid w:val="00212763"/>
    <w:rsid w:val="002A4E02"/>
    <w:rsid w:val="002F4833"/>
    <w:rsid w:val="00302B5C"/>
    <w:rsid w:val="0032077E"/>
    <w:rsid w:val="00470166"/>
    <w:rsid w:val="00482798"/>
    <w:rsid w:val="0050003F"/>
    <w:rsid w:val="00576602"/>
    <w:rsid w:val="005F6A18"/>
    <w:rsid w:val="00772B64"/>
    <w:rsid w:val="007F686E"/>
    <w:rsid w:val="009A73F1"/>
    <w:rsid w:val="00A663A8"/>
    <w:rsid w:val="00AF7E51"/>
    <w:rsid w:val="00B72D7C"/>
    <w:rsid w:val="00D70376"/>
    <w:rsid w:val="00D739DA"/>
    <w:rsid w:val="00E37644"/>
    <w:rsid w:val="00EA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4BE8"/>
  <w15:chartTrackingRefBased/>
  <w15:docId w15:val="{C3DC06B1-F8E9-435E-B2BB-A3CF36D8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D7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2D7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21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khachev.ilya.andreevic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A02C1-FF2C-4563-A327-656109F6F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Голодный</dc:creator>
  <cp:keywords/>
  <dc:description/>
  <cp:lastModifiedBy>Студент Голодный</cp:lastModifiedBy>
  <cp:revision>2</cp:revision>
  <dcterms:created xsi:type="dcterms:W3CDTF">2023-02-16T10:14:00Z</dcterms:created>
  <dcterms:modified xsi:type="dcterms:W3CDTF">2023-02-16T10:14:00Z</dcterms:modified>
</cp:coreProperties>
</file>