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2B9" w:rsidRPr="00CE3B8F" w:rsidRDefault="00CD62B9">
      <w:pPr>
        <w:shd w:val="clear" w:color="auto" w:fill="FFFFFF"/>
        <w:jc w:val="center"/>
        <w:rPr>
          <w:b/>
          <w:color w:val="000000"/>
        </w:rPr>
      </w:pPr>
      <w:r>
        <w:rPr>
          <w:b/>
          <w:color w:val="000000"/>
        </w:rPr>
        <w:t>Синтез бис</w:t>
      </w:r>
      <w:r w:rsidRPr="000B5B4D">
        <w:rPr>
          <w:b/>
          <w:color w:val="000000"/>
        </w:rPr>
        <w:t>(а</w:t>
      </w:r>
      <w:r w:rsidRPr="00CE3B8F">
        <w:rPr>
          <w:b/>
          <w:color w:val="000000"/>
        </w:rPr>
        <w:t xml:space="preserve">за-18-краун-6)содержащего диенона ряда </w:t>
      </w:r>
      <w:proofErr w:type="spellStart"/>
      <w:r w:rsidRPr="00CE3B8F">
        <w:rPr>
          <w:b/>
          <w:color w:val="000000"/>
        </w:rPr>
        <w:t>циклобутанона</w:t>
      </w:r>
      <w:proofErr w:type="spellEnd"/>
      <w:r w:rsidRPr="00CE3B8F">
        <w:rPr>
          <w:b/>
          <w:color w:val="000000"/>
        </w:rPr>
        <w:t xml:space="preserve"> и исследование </w:t>
      </w:r>
      <w:r>
        <w:rPr>
          <w:b/>
          <w:color w:val="000000"/>
        </w:rPr>
        <w:t xml:space="preserve">особенностей его </w:t>
      </w:r>
      <w:proofErr w:type="spellStart"/>
      <w:r w:rsidRPr="00CE3B8F">
        <w:rPr>
          <w:b/>
          <w:color w:val="000000"/>
        </w:rPr>
        <w:t>комплексо</w:t>
      </w:r>
      <w:r>
        <w:rPr>
          <w:b/>
          <w:color w:val="000000"/>
        </w:rPr>
        <w:t>бразования</w:t>
      </w:r>
      <w:proofErr w:type="spellEnd"/>
      <w:r w:rsidRPr="00CE3B8F">
        <w:rPr>
          <w:b/>
          <w:color w:val="000000"/>
        </w:rPr>
        <w:t xml:space="preserve"> с</w:t>
      </w:r>
      <w:r w:rsidR="002A171F">
        <w:rPr>
          <w:b/>
          <w:color w:val="000000"/>
        </w:rPr>
        <w:t xml:space="preserve"> </w:t>
      </w:r>
      <w:r>
        <w:rPr>
          <w:b/>
          <w:color w:val="000000"/>
        </w:rPr>
        <w:t xml:space="preserve">солями </w:t>
      </w:r>
      <w:proofErr w:type="spellStart"/>
      <w:r>
        <w:rPr>
          <w:b/>
          <w:color w:val="000000"/>
        </w:rPr>
        <w:t>алкандиаммония</w:t>
      </w:r>
      <w:proofErr w:type="spellEnd"/>
    </w:p>
    <w:p w:rsidR="00CD62B9" w:rsidRPr="00CE3B8F" w:rsidRDefault="00CD62B9">
      <w:pPr>
        <w:shd w:val="clear" w:color="auto" w:fill="FFFFFF"/>
        <w:jc w:val="center"/>
        <w:rPr>
          <w:color w:val="000000"/>
        </w:rPr>
      </w:pPr>
      <w:r w:rsidRPr="00CE3B8F">
        <w:rPr>
          <w:b/>
          <w:i/>
          <w:color w:val="000000"/>
        </w:rPr>
        <w:t>Здоровенко И.П.</w:t>
      </w:r>
      <w:r w:rsidRPr="00CE3B8F">
        <w:rPr>
          <w:b/>
          <w:i/>
          <w:color w:val="000000"/>
          <w:vertAlign w:val="superscript"/>
        </w:rPr>
        <w:t>1,2</w:t>
      </w:r>
    </w:p>
    <w:p w:rsidR="00CD62B9" w:rsidRPr="00CE3B8F" w:rsidRDefault="00CD62B9">
      <w:pPr>
        <w:shd w:val="clear" w:color="auto" w:fill="FFFFFF"/>
        <w:jc w:val="center"/>
        <w:rPr>
          <w:color w:val="000000"/>
        </w:rPr>
      </w:pPr>
      <w:r w:rsidRPr="00CE3B8F">
        <w:rPr>
          <w:i/>
          <w:color w:val="000000"/>
        </w:rPr>
        <w:t xml:space="preserve">Студент, 6 курс </w:t>
      </w:r>
      <w:proofErr w:type="spellStart"/>
      <w:r w:rsidRPr="00CE3B8F">
        <w:rPr>
          <w:i/>
          <w:color w:val="000000"/>
        </w:rPr>
        <w:t>специалитета</w:t>
      </w:r>
      <w:proofErr w:type="spellEnd"/>
    </w:p>
    <w:p w:rsidR="00CD62B9" w:rsidRPr="00CE3B8F" w:rsidRDefault="00CD62B9">
      <w:pPr>
        <w:shd w:val="clear" w:color="auto" w:fill="FFFFFF"/>
        <w:jc w:val="center"/>
        <w:rPr>
          <w:color w:val="000000"/>
        </w:rPr>
      </w:pPr>
      <w:r w:rsidRPr="00CE3B8F">
        <w:rPr>
          <w:i/>
          <w:color w:val="000000"/>
          <w:vertAlign w:val="superscript"/>
        </w:rPr>
        <w:t>1</w:t>
      </w:r>
      <w:r w:rsidRPr="00CE3B8F">
        <w:rPr>
          <w:i/>
          <w:color w:val="000000"/>
        </w:rPr>
        <w:t>Московский государственный университет имени М.В. Ломоносова, </w:t>
      </w:r>
    </w:p>
    <w:p w:rsidR="00CD62B9" w:rsidRPr="00CE3B8F" w:rsidRDefault="00CD62B9" w:rsidP="0013175E">
      <w:pPr>
        <w:pStyle w:val="a8"/>
        <w:shd w:val="clear" w:color="auto" w:fill="FFFFFF"/>
        <w:spacing w:after="0" w:line="240" w:lineRule="auto"/>
        <w:jc w:val="center"/>
        <w:rPr>
          <w:i/>
          <w:color w:val="000000"/>
        </w:rPr>
      </w:pPr>
      <w:r w:rsidRPr="00CE3B8F">
        <w:rPr>
          <w:i/>
          <w:color w:val="000000"/>
        </w:rPr>
        <w:t>химический факультет, Москва, Россия</w:t>
      </w:r>
      <w:r w:rsidRPr="00CE3B8F">
        <w:rPr>
          <w:color w:val="000000"/>
        </w:rPr>
        <w:br/>
      </w:r>
      <w:r w:rsidRPr="00CE3B8F">
        <w:rPr>
          <w:i/>
          <w:color w:val="000000"/>
          <w:vertAlign w:val="superscript"/>
        </w:rPr>
        <w:t>2</w:t>
      </w:r>
      <w:r w:rsidRPr="00CE3B8F">
        <w:rPr>
          <w:i/>
          <w:color w:val="000000"/>
        </w:rPr>
        <w:t xml:space="preserve">Центр фотохимии РАН, ФНИЦ «Кристаллография и </w:t>
      </w:r>
      <w:proofErr w:type="spellStart"/>
      <w:r w:rsidRPr="00CE3B8F">
        <w:rPr>
          <w:i/>
          <w:color w:val="000000"/>
        </w:rPr>
        <w:t>фотоника</w:t>
      </w:r>
      <w:proofErr w:type="spellEnd"/>
      <w:r w:rsidRPr="00CE3B8F">
        <w:rPr>
          <w:i/>
          <w:color w:val="000000"/>
        </w:rPr>
        <w:t xml:space="preserve">» РАН, Москва, Россия </w:t>
      </w:r>
      <w:r w:rsidRPr="00CE3B8F">
        <w:rPr>
          <w:i/>
          <w:color w:val="000000"/>
        </w:rPr>
        <w:br/>
      </w:r>
      <w:proofErr w:type="spellStart"/>
      <w:r w:rsidRPr="00CE3B8F">
        <w:rPr>
          <w:i/>
          <w:color w:val="000000"/>
        </w:rPr>
        <w:t>E-mail</w:t>
      </w:r>
      <w:proofErr w:type="spellEnd"/>
      <w:r w:rsidRPr="00CE3B8F">
        <w:rPr>
          <w:i/>
          <w:color w:val="000000"/>
        </w:rPr>
        <w:t xml:space="preserve">: </w:t>
      </w:r>
      <w:hyperlink r:id="rId4" w:history="1">
        <w:r w:rsidRPr="00CE3B8F">
          <w:rPr>
            <w:rStyle w:val="a6"/>
            <w:i/>
          </w:rPr>
          <w:t>i</w:t>
        </w:r>
        <w:r w:rsidRPr="00CE3B8F">
          <w:rPr>
            <w:rStyle w:val="a6"/>
            <w:i/>
            <w:lang w:val="en-US"/>
          </w:rPr>
          <w:t>lia</w:t>
        </w:r>
        <w:r w:rsidRPr="00CE3B8F">
          <w:rPr>
            <w:rStyle w:val="a6"/>
            <w:i/>
          </w:rPr>
          <w:t>.</w:t>
        </w:r>
        <w:r w:rsidRPr="00CE3B8F">
          <w:rPr>
            <w:rStyle w:val="a6"/>
            <w:i/>
            <w:lang w:val="en-US"/>
          </w:rPr>
          <w:t>zdorovenko</w:t>
        </w:r>
        <w:r w:rsidRPr="00CE3B8F">
          <w:rPr>
            <w:rStyle w:val="a6"/>
            <w:i/>
          </w:rPr>
          <w:t>@</w:t>
        </w:r>
        <w:r w:rsidRPr="00CE3B8F">
          <w:rPr>
            <w:rStyle w:val="a6"/>
            <w:i/>
            <w:lang w:val="en-US"/>
          </w:rPr>
          <w:t>gmail</w:t>
        </w:r>
        <w:r w:rsidRPr="00CE3B8F">
          <w:rPr>
            <w:rStyle w:val="a6"/>
            <w:i/>
          </w:rPr>
          <w:t>.</w:t>
        </w:r>
        <w:r w:rsidRPr="00CE3B8F">
          <w:rPr>
            <w:rStyle w:val="a6"/>
            <w:i/>
            <w:lang w:val="en-US"/>
          </w:rPr>
          <w:t>com</w:t>
        </w:r>
      </w:hyperlink>
    </w:p>
    <w:p w:rsidR="00CD62B9" w:rsidRPr="000B5B4D" w:rsidRDefault="00CD62B9" w:rsidP="00BC0BF3">
      <w:pPr>
        <w:pStyle w:val="a8"/>
        <w:shd w:val="clear" w:color="auto" w:fill="FFFFFF"/>
        <w:spacing w:after="0" w:line="240" w:lineRule="auto"/>
        <w:ind w:firstLine="426"/>
        <w:jc w:val="both"/>
        <w:rPr>
          <w:color w:val="000000"/>
        </w:rPr>
      </w:pPr>
      <w:r w:rsidRPr="000B5B4D">
        <w:rPr>
          <w:color w:val="000000"/>
        </w:rPr>
        <w:t xml:space="preserve">Органические катионы аммония широко распространены в химии и биологии, в связи </w:t>
      </w:r>
      <w:r w:rsidR="002A171F">
        <w:rPr>
          <w:color w:val="000000"/>
        </w:rPr>
        <w:t xml:space="preserve">с чем </w:t>
      </w:r>
      <w:r w:rsidRPr="000B5B4D">
        <w:rPr>
          <w:color w:val="000000"/>
        </w:rPr>
        <w:t>исследователи уделяют особое внимание созданию молекул-рецепторов, способных узнавать эти субстраты</w:t>
      </w:r>
      <w:r w:rsidR="00F41CA9" w:rsidRPr="00F41CA9">
        <w:rPr>
          <w:color w:val="000000"/>
        </w:rPr>
        <w:t xml:space="preserve"> </w:t>
      </w:r>
      <w:r w:rsidR="00C002E8" w:rsidRPr="000B5B4D">
        <w:rPr>
          <w:color w:val="000000"/>
        </w:rPr>
        <w:fldChar w:fldCharType="begin" w:fldLock="1"/>
      </w:r>
      <w:r w:rsidRPr="000B5B4D">
        <w:rPr>
          <w:color w:val="000000"/>
        </w:rPr>
        <w:instrText>ADDIN CSL_CITATION {"citationItems":[{"id":"ITEM-1","itemData":{"DOI":"10.3762/bjoc.6.32","ISSN":"18605397","abstract":"Ammonium ions are ubiquitous in chemistry and molecular biology. Considerable efforts have been undertaken to develop synthetic receptors for their selective molecular recognition. The type of host compounds for organic ammonium ion binding span a wide range from crown ethers to calixarenes to metal complexes. Typical intermolecular interactions are hydrogen bonds, electrostatic and cation-p interactions, hydrophobic interactions or reversible covalent bond formation. In this review we discuss the different classes of synthetic receptors for organic ammonium ion recognition and illustrate the scope and limitations of each class with selected examples from the recent literature. The molecular recognition of ammonium ions in amino acids is included and the enantioselective binding of chiral ammonium ions by synthetic receptors is also covered. In our conclusion we compare the strengths and weaknesses of the different types of ammonium ion receptors which may help to select the best approach for specific applications. © 2010 Späth and König.","author":[{"dropping-particle":"","family":"Späth","given":"Andreas","non-dropping-particle":"","parse-names":false,"suffix":""},{"dropping-particle":"","family":"Knig","given":"Burkhard","non-dropping-particle":"","parse-names":false,"suffix":""}],"container-title":"Beilstein Journal of Organic Chemistry","id":"ITEM-1","issued":{"date-parts":[["2010"]]},"title":"Molecular recognition of organic ammonium ions in solution using synthetic receptors","type":"article-journal","volume":"6"},"uris":["http://www.mendeley.com/documents/?uuid=1a1179d3-ac98-472b-9200-b4aab4a7b260"]}],"mendeley":{"formattedCitation":"[1]","plainTextFormattedCitation":"[1]","previouslyFormattedCitation":"[1]"},"properties":{"noteIndex":0},"schema":"https://github.com/citation-style-language/schema/raw/master/csl-citation.json"}</w:instrText>
      </w:r>
      <w:r w:rsidR="00C002E8" w:rsidRPr="000B5B4D">
        <w:rPr>
          <w:color w:val="000000"/>
        </w:rPr>
        <w:fldChar w:fldCharType="separate"/>
      </w:r>
      <w:r w:rsidRPr="000B5B4D">
        <w:rPr>
          <w:noProof/>
          <w:color w:val="000000"/>
        </w:rPr>
        <w:t>[1]</w:t>
      </w:r>
      <w:r w:rsidR="00C002E8" w:rsidRPr="000B5B4D">
        <w:rPr>
          <w:color w:val="000000"/>
        </w:rPr>
        <w:fldChar w:fldCharType="end"/>
      </w:r>
      <w:r w:rsidRPr="000B5B4D">
        <w:rPr>
          <w:color w:val="000000"/>
        </w:rPr>
        <w:t xml:space="preserve">. Такие рецепторы могут быть построены на основе краунсодержащих молекул. Например, бисазакраунсодержащие </w:t>
      </w:r>
      <w:proofErr w:type="spellStart"/>
      <w:r w:rsidRPr="000B5B4D">
        <w:rPr>
          <w:color w:val="000000"/>
        </w:rPr>
        <w:t>кросс-сопряженные</w:t>
      </w:r>
      <w:proofErr w:type="spellEnd"/>
      <w:r w:rsidRPr="000B5B4D">
        <w:rPr>
          <w:color w:val="000000"/>
        </w:rPr>
        <w:t xml:space="preserve"> диеноны (кетоцианиновые красители) способны образовывать супрамолекулярные комплексы с катионами аммония в результате межмолекулярных взаимодействий исходных соединений и могут быть использованы для создания оптических молекулярных сенсоров на катионы аммония.</w:t>
      </w:r>
    </w:p>
    <w:p w:rsidR="00CD62B9" w:rsidRPr="000B5B4D" w:rsidRDefault="00CD62B9" w:rsidP="00BC0BF3">
      <w:pPr>
        <w:pStyle w:val="a8"/>
        <w:shd w:val="clear" w:color="auto" w:fill="FFFFFF"/>
        <w:spacing w:after="0" w:line="240" w:lineRule="auto"/>
        <w:ind w:firstLine="426"/>
        <w:jc w:val="both"/>
        <w:rPr>
          <w:color w:val="000000"/>
        </w:rPr>
      </w:pPr>
      <w:r w:rsidRPr="000B5B4D">
        <w:rPr>
          <w:color w:val="000000"/>
        </w:rPr>
        <w:t xml:space="preserve">Целью работы был синтез бис(аза-18-краун-6)содержащего диенона ряда </w:t>
      </w:r>
      <w:proofErr w:type="spellStart"/>
      <w:r w:rsidRPr="000B5B4D">
        <w:rPr>
          <w:color w:val="000000"/>
        </w:rPr>
        <w:t>циклобутанона</w:t>
      </w:r>
      <w:proofErr w:type="spellEnd"/>
      <w:r w:rsidR="002A171F">
        <w:rPr>
          <w:color w:val="000000"/>
        </w:rPr>
        <w:t xml:space="preserve"> </w:t>
      </w:r>
      <w:r w:rsidRPr="000B5B4D">
        <w:rPr>
          <w:b/>
          <w:color w:val="000000"/>
        </w:rPr>
        <w:t>1</w:t>
      </w:r>
      <w:r w:rsidRPr="000B5B4D">
        <w:rPr>
          <w:color w:val="000000"/>
        </w:rPr>
        <w:t xml:space="preserve"> и исследование особенностей его самосборки в супрамолекулярные комплексы с солями </w:t>
      </w:r>
      <w:proofErr w:type="spellStart"/>
      <w:r w:rsidRPr="000B5B4D">
        <w:rPr>
          <w:color w:val="000000"/>
        </w:rPr>
        <w:t>алкандиаммония</w:t>
      </w:r>
      <w:proofErr w:type="spellEnd"/>
      <w:r w:rsidR="00F41CA9">
        <w:rPr>
          <w:color w:val="000000"/>
        </w:rPr>
        <w:t xml:space="preserve"> </w:t>
      </w:r>
      <w:r w:rsidRPr="000B5B4D">
        <w:rPr>
          <w:lang w:val="en-US"/>
        </w:rPr>
        <w:t>H</w:t>
      </w:r>
      <w:r w:rsidRPr="000B5B4D">
        <w:rPr>
          <w:vertAlign w:val="subscript"/>
        </w:rPr>
        <w:t>3</w:t>
      </w:r>
      <w:r w:rsidRPr="000B5B4D">
        <w:rPr>
          <w:lang w:val="en-US"/>
        </w:rPr>
        <w:t>N</w:t>
      </w:r>
      <w:r w:rsidRPr="000B5B4D">
        <w:rPr>
          <w:vertAlign w:val="superscript"/>
        </w:rPr>
        <w:t>+</w:t>
      </w:r>
      <w:r w:rsidRPr="000B5B4D">
        <w:t>(</w:t>
      </w:r>
      <w:r w:rsidRPr="000B5B4D">
        <w:rPr>
          <w:lang w:val="en-US"/>
        </w:rPr>
        <w:t>CH</w:t>
      </w:r>
      <w:r w:rsidRPr="000B5B4D">
        <w:rPr>
          <w:vertAlign w:val="subscript"/>
        </w:rPr>
        <w:t>2</w:t>
      </w:r>
      <w:r w:rsidRPr="000B5B4D">
        <w:t>)</w:t>
      </w:r>
      <w:proofErr w:type="spellStart"/>
      <w:r w:rsidRPr="000B5B4D">
        <w:rPr>
          <w:vertAlign w:val="subscript"/>
          <w:lang w:val="en-US"/>
        </w:rPr>
        <w:t>n</w:t>
      </w:r>
      <w:r w:rsidRPr="000B5B4D">
        <w:rPr>
          <w:lang w:val="en-US"/>
        </w:rPr>
        <w:t>NH</w:t>
      </w:r>
      <w:proofErr w:type="spellEnd"/>
      <w:r w:rsidRPr="000B5B4D">
        <w:rPr>
          <w:vertAlign w:val="subscript"/>
        </w:rPr>
        <w:t>3</w:t>
      </w:r>
      <w:r w:rsidRPr="000B5B4D">
        <w:rPr>
          <w:vertAlign w:val="superscript"/>
        </w:rPr>
        <w:t>+</w:t>
      </w:r>
      <w:r w:rsidRPr="000B5B4D">
        <w:t>2</w:t>
      </w:r>
      <w:proofErr w:type="spellStart"/>
      <w:r w:rsidRPr="000B5B4D">
        <w:rPr>
          <w:lang w:val="en-US"/>
        </w:rPr>
        <w:t>ClO</w:t>
      </w:r>
      <w:proofErr w:type="spellEnd"/>
      <w:r w:rsidRPr="000B5B4D">
        <w:rPr>
          <w:vertAlign w:val="subscript"/>
        </w:rPr>
        <w:t>4</w:t>
      </w:r>
      <w:r w:rsidRPr="000B5B4D">
        <w:rPr>
          <w:vertAlign w:val="superscript"/>
        </w:rPr>
        <w:t xml:space="preserve">– </w:t>
      </w:r>
      <w:r w:rsidRPr="000B5B4D">
        <w:t>(</w:t>
      </w:r>
      <w:r w:rsidRPr="000B5B4D">
        <w:rPr>
          <w:b/>
        </w:rPr>
        <w:t>С</w:t>
      </w:r>
      <w:r w:rsidRPr="000B5B4D">
        <w:rPr>
          <w:b/>
          <w:vertAlign w:val="subscript"/>
          <w:lang w:val="en-US"/>
        </w:rPr>
        <w:t>n</w:t>
      </w:r>
      <w:r w:rsidRPr="000B5B4D">
        <w:t xml:space="preserve">, </w:t>
      </w:r>
      <w:r w:rsidRPr="000B5B4D">
        <w:rPr>
          <w:lang w:val="en-US"/>
        </w:rPr>
        <w:t>n</w:t>
      </w:r>
      <w:r w:rsidRPr="000B5B4D">
        <w:t xml:space="preserve"> = 2-10, 12) </w:t>
      </w:r>
      <w:r w:rsidRPr="000B5B4D">
        <w:rPr>
          <w:color w:val="000000"/>
        </w:rPr>
        <w:t>и EtNH</w:t>
      </w:r>
      <w:r w:rsidRPr="000B5B4D">
        <w:rPr>
          <w:color w:val="000000"/>
          <w:vertAlign w:val="subscript"/>
        </w:rPr>
        <w:t>3</w:t>
      </w:r>
      <w:r w:rsidRPr="000B5B4D">
        <w:rPr>
          <w:color w:val="000000"/>
        </w:rPr>
        <w:t>ClO</w:t>
      </w:r>
      <w:r w:rsidRPr="000B5B4D">
        <w:rPr>
          <w:color w:val="000000"/>
          <w:vertAlign w:val="subscript"/>
        </w:rPr>
        <w:t xml:space="preserve">4 </w:t>
      </w:r>
      <w:r w:rsidRPr="000B5B4D">
        <w:rPr>
          <w:color w:val="000000"/>
        </w:rPr>
        <w:t>в ацетонитриле (рис. 1).</w:t>
      </w:r>
    </w:p>
    <w:tbl>
      <w:tblPr>
        <w:tblW w:w="9781" w:type="dxa"/>
        <w:jc w:val="center"/>
        <w:tblInd w:w="-34" w:type="dxa"/>
        <w:tblLayout w:type="fixed"/>
        <w:tblLook w:val="00A0"/>
      </w:tblPr>
      <w:tblGrid>
        <w:gridCol w:w="4253"/>
        <w:gridCol w:w="5528"/>
      </w:tblGrid>
      <w:tr w:rsidR="00CD62B9" w:rsidRPr="000B5B4D" w:rsidTr="00DC36A0">
        <w:trPr>
          <w:trHeight w:val="1749"/>
          <w:jc w:val="center"/>
        </w:trPr>
        <w:tc>
          <w:tcPr>
            <w:tcW w:w="4253" w:type="dxa"/>
            <w:vAlign w:val="center"/>
          </w:tcPr>
          <w:p w:rsidR="00CD62B9" w:rsidRPr="000B5B4D" w:rsidRDefault="00F41CA9" w:rsidP="00326984">
            <w:pPr>
              <w:jc w:val="center"/>
              <w:rPr>
                <w:color w:val="000000"/>
              </w:rPr>
            </w:pPr>
            <w:r>
              <w:rPr>
                <w:noProof/>
                <w:color w:val="000000"/>
              </w:rPr>
              <w:drawing>
                <wp:inline distT="0" distB="0" distL="0" distR="0">
                  <wp:extent cx="2563495" cy="966470"/>
                  <wp:effectExtent l="19050" t="0" r="8255" b="0"/>
                  <wp:docPr id="1" name="Рисунок 0" descr="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5"/>
                          <a:stretch>
                            <a:fillRect/>
                          </a:stretch>
                        </pic:blipFill>
                        <pic:spPr>
                          <a:xfrm>
                            <a:off x="0" y="0"/>
                            <a:ext cx="2563495" cy="966470"/>
                          </a:xfrm>
                          <a:prstGeom prst="rect">
                            <a:avLst/>
                          </a:prstGeom>
                        </pic:spPr>
                      </pic:pic>
                    </a:graphicData>
                  </a:graphic>
                </wp:inline>
              </w:drawing>
            </w:r>
          </w:p>
        </w:tc>
        <w:tc>
          <w:tcPr>
            <w:tcW w:w="5528" w:type="dxa"/>
            <w:vAlign w:val="center"/>
          </w:tcPr>
          <w:p w:rsidR="00CD62B9" w:rsidRPr="000B5B4D" w:rsidRDefault="00F41CA9" w:rsidP="00326984">
            <w:pPr>
              <w:jc w:val="center"/>
              <w:rPr>
                <w:color w:val="000000"/>
                <w:lang w:val="en-US"/>
              </w:rPr>
            </w:pPr>
            <w:r>
              <w:rPr>
                <w:noProof/>
                <w:color w:val="000000"/>
              </w:rPr>
              <w:drawing>
                <wp:inline distT="0" distB="0" distL="0" distR="0">
                  <wp:extent cx="3373120" cy="799465"/>
                  <wp:effectExtent l="19050" t="0" r="0" b="0"/>
                  <wp:docPr id="2" name="Рисунок 1" descr="1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png"/>
                          <pic:cNvPicPr/>
                        </pic:nvPicPr>
                        <pic:blipFill>
                          <a:blip r:embed="rId6"/>
                          <a:stretch>
                            <a:fillRect/>
                          </a:stretch>
                        </pic:blipFill>
                        <pic:spPr>
                          <a:xfrm>
                            <a:off x="0" y="0"/>
                            <a:ext cx="3373120" cy="799465"/>
                          </a:xfrm>
                          <a:prstGeom prst="rect">
                            <a:avLst/>
                          </a:prstGeom>
                        </pic:spPr>
                      </pic:pic>
                    </a:graphicData>
                  </a:graphic>
                </wp:inline>
              </w:drawing>
            </w:r>
          </w:p>
        </w:tc>
      </w:tr>
    </w:tbl>
    <w:p w:rsidR="00CD62B9" w:rsidRPr="000B5B4D" w:rsidRDefault="00F41CA9" w:rsidP="009D2DFE">
      <w:pPr>
        <w:shd w:val="clear" w:color="auto" w:fill="FFFFFF"/>
        <w:jc w:val="center"/>
        <w:rPr>
          <w:b/>
        </w:rPr>
      </w:pPr>
      <w:r>
        <w:t>Рис. 1. Синтез</w:t>
      </w:r>
      <w:r w:rsidR="00CD62B9" w:rsidRPr="000B5B4D">
        <w:t>ы</w:t>
      </w:r>
      <w:r w:rsidRPr="00F41CA9">
        <w:t xml:space="preserve"> </w:t>
      </w:r>
      <w:r w:rsidR="00CD62B9" w:rsidRPr="000B5B4D">
        <w:t>диенона</w:t>
      </w:r>
      <w:r w:rsidR="002A171F">
        <w:t xml:space="preserve"> </w:t>
      </w:r>
      <w:r w:rsidR="00CD62B9" w:rsidRPr="000B5B4D">
        <w:rPr>
          <w:b/>
        </w:rPr>
        <w:t>1</w:t>
      </w:r>
      <w:r w:rsidR="00CD62B9" w:rsidRPr="000B5B4D">
        <w:t xml:space="preserve"> и комплекса </w:t>
      </w:r>
      <w:r w:rsidR="00CD62B9" w:rsidRPr="000B5B4D">
        <w:rPr>
          <w:b/>
        </w:rPr>
        <w:t>1</w:t>
      </w:r>
      <w:r w:rsidR="00CD62B9" w:rsidRPr="000B5B4D">
        <w:rPr>
          <w:color w:val="000000"/>
        </w:rPr>
        <w:t>·</w:t>
      </w:r>
      <w:r w:rsidR="00CD62B9" w:rsidRPr="000B5B4D">
        <w:rPr>
          <w:b/>
          <w:color w:val="000000"/>
          <w:lang w:val="en-US"/>
        </w:rPr>
        <w:t>C</w:t>
      </w:r>
      <w:r w:rsidR="00CD62B9" w:rsidRPr="000B5B4D">
        <w:rPr>
          <w:b/>
          <w:color w:val="000000"/>
          <w:vertAlign w:val="subscript"/>
        </w:rPr>
        <w:t>12</w:t>
      </w:r>
    </w:p>
    <w:p w:rsidR="00CD62B9" w:rsidRPr="000B5B4D" w:rsidRDefault="00CD62B9" w:rsidP="00C001C1">
      <w:pPr>
        <w:shd w:val="clear" w:color="auto" w:fill="FFFFFF"/>
        <w:jc w:val="both"/>
        <w:rPr>
          <w:color w:val="000000"/>
        </w:rPr>
      </w:pPr>
    </w:p>
    <w:p w:rsidR="00CD62B9" w:rsidRPr="000B5B4D" w:rsidRDefault="00CD62B9" w:rsidP="009D2DFE">
      <w:pPr>
        <w:pStyle w:val="LO-normal"/>
        <w:shd w:val="clear" w:color="auto" w:fill="FFFFFF"/>
        <w:ind w:firstLine="397"/>
        <w:jc w:val="both"/>
        <w:rPr>
          <w:rFonts w:ascii="Times New Roman" w:hAnsi="Times New Roman" w:cs="Times New Roman"/>
          <w:color w:val="000000"/>
          <w:sz w:val="24"/>
          <w:szCs w:val="24"/>
        </w:rPr>
      </w:pPr>
      <w:r w:rsidRPr="000B5B4D">
        <w:rPr>
          <w:rFonts w:ascii="Times New Roman" w:hAnsi="Times New Roman" w:cs="Times New Roman"/>
          <w:color w:val="000000"/>
          <w:sz w:val="24"/>
          <w:szCs w:val="24"/>
        </w:rPr>
        <w:t xml:space="preserve">Исходный диенон ряда </w:t>
      </w:r>
      <w:proofErr w:type="spellStart"/>
      <w:r w:rsidRPr="000B5B4D">
        <w:rPr>
          <w:rFonts w:ascii="Times New Roman" w:hAnsi="Times New Roman" w:cs="Times New Roman"/>
          <w:color w:val="000000"/>
          <w:sz w:val="24"/>
          <w:szCs w:val="24"/>
        </w:rPr>
        <w:t>циклобутанона</w:t>
      </w:r>
      <w:proofErr w:type="spellEnd"/>
      <w:r w:rsidR="002A171F">
        <w:rPr>
          <w:rFonts w:ascii="Times New Roman" w:hAnsi="Times New Roman" w:cs="Times New Roman"/>
          <w:color w:val="000000"/>
          <w:sz w:val="24"/>
          <w:szCs w:val="24"/>
        </w:rPr>
        <w:t xml:space="preserve"> </w:t>
      </w:r>
      <w:r w:rsidRPr="000B5B4D">
        <w:rPr>
          <w:rFonts w:ascii="Times New Roman" w:hAnsi="Times New Roman" w:cs="Times New Roman"/>
          <w:b/>
          <w:color w:val="000000"/>
          <w:sz w:val="24"/>
          <w:szCs w:val="24"/>
        </w:rPr>
        <w:t xml:space="preserve">1 </w:t>
      </w:r>
      <w:r w:rsidRPr="000B5B4D">
        <w:rPr>
          <w:rFonts w:ascii="Times New Roman" w:hAnsi="Times New Roman" w:cs="Times New Roman"/>
          <w:color w:val="000000"/>
          <w:sz w:val="24"/>
          <w:szCs w:val="24"/>
        </w:rPr>
        <w:t xml:space="preserve">был синтезирован реакцией конденсации </w:t>
      </w:r>
      <w:proofErr w:type="spellStart"/>
      <w:r w:rsidRPr="000B5B4D">
        <w:rPr>
          <w:rFonts w:ascii="Times New Roman" w:hAnsi="Times New Roman" w:cs="Times New Roman"/>
          <w:color w:val="000000"/>
          <w:sz w:val="24"/>
          <w:szCs w:val="24"/>
        </w:rPr>
        <w:t>циклобутанона</w:t>
      </w:r>
      <w:proofErr w:type="spellEnd"/>
      <w:r w:rsidRPr="000B5B4D">
        <w:rPr>
          <w:rFonts w:ascii="Times New Roman" w:hAnsi="Times New Roman" w:cs="Times New Roman"/>
          <w:color w:val="000000"/>
          <w:sz w:val="24"/>
          <w:szCs w:val="24"/>
        </w:rPr>
        <w:t xml:space="preserve"> и </w:t>
      </w:r>
      <w:proofErr w:type="spellStart"/>
      <w:r w:rsidRPr="000B5B4D">
        <w:rPr>
          <w:rFonts w:ascii="Times New Roman" w:hAnsi="Times New Roman" w:cs="Times New Roman"/>
          <w:color w:val="000000"/>
          <w:sz w:val="24"/>
          <w:szCs w:val="24"/>
        </w:rPr>
        <w:t>формильного</w:t>
      </w:r>
      <w:proofErr w:type="spellEnd"/>
      <w:r w:rsidRPr="000B5B4D">
        <w:rPr>
          <w:rFonts w:ascii="Times New Roman" w:hAnsi="Times New Roman" w:cs="Times New Roman"/>
          <w:color w:val="000000"/>
          <w:sz w:val="24"/>
          <w:szCs w:val="24"/>
        </w:rPr>
        <w:t xml:space="preserve"> производного </w:t>
      </w:r>
      <w:r w:rsidRPr="000B5B4D">
        <w:rPr>
          <w:rFonts w:ascii="Times New Roman" w:hAnsi="Times New Roman" w:cs="Times New Roman"/>
          <w:i/>
          <w:color w:val="000000"/>
          <w:sz w:val="24"/>
          <w:szCs w:val="24"/>
          <w:lang w:val="en-US"/>
        </w:rPr>
        <w:t>N</w:t>
      </w:r>
      <w:r w:rsidRPr="000B5B4D">
        <w:rPr>
          <w:rFonts w:ascii="Times New Roman" w:hAnsi="Times New Roman" w:cs="Times New Roman"/>
          <w:color w:val="000000"/>
          <w:sz w:val="24"/>
          <w:szCs w:val="24"/>
        </w:rPr>
        <w:t xml:space="preserve">-фенилаза-18-краун-6-эфира </w:t>
      </w:r>
      <w:r w:rsidRPr="000B5B4D">
        <w:rPr>
          <w:rFonts w:ascii="Times New Roman" w:hAnsi="Times New Roman" w:cs="Times New Roman"/>
          <w:sz w:val="24"/>
          <w:szCs w:val="24"/>
        </w:rPr>
        <w:t xml:space="preserve">в присутствии </w:t>
      </w:r>
      <w:r w:rsidRPr="000B5B4D">
        <w:rPr>
          <w:rFonts w:ascii="Times New Roman" w:hAnsi="Times New Roman" w:cs="Times New Roman"/>
          <w:sz w:val="24"/>
          <w:szCs w:val="24"/>
          <w:lang w:val="en-US"/>
        </w:rPr>
        <w:t>NaOH</w:t>
      </w:r>
      <w:r w:rsidRPr="000B5B4D">
        <w:rPr>
          <w:rFonts w:ascii="Times New Roman" w:hAnsi="Times New Roman" w:cs="Times New Roman"/>
          <w:color w:val="000000"/>
          <w:sz w:val="24"/>
          <w:szCs w:val="24"/>
        </w:rPr>
        <w:t xml:space="preserve">. Строение </w:t>
      </w:r>
      <w:r w:rsidRPr="000B5B4D">
        <w:rPr>
          <w:rFonts w:ascii="Times New Roman" w:hAnsi="Times New Roman" w:cs="Times New Roman"/>
          <w:b/>
          <w:color w:val="000000"/>
          <w:sz w:val="24"/>
          <w:szCs w:val="24"/>
        </w:rPr>
        <w:t>1</w:t>
      </w:r>
      <w:r w:rsidRPr="000B5B4D">
        <w:rPr>
          <w:rFonts w:ascii="Times New Roman" w:hAnsi="Times New Roman" w:cs="Times New Roman"/>
          <w:color w:val="000000"/>
          <w:sz w:val="24"/>
          <w:szCs w:val="24"/>
        </w:rPr>
        <w:t xml:space="preserve"> было установлено с помощью ЯМР-, ИК</w:t>
      </w:r>
      <w:r w:rsidRPr="000B5B4D">
        <w:rPr>
          <w:rFonts w:ascii="Times New Roman" w:hAnsi="Times New Roman" w:cs="Times New Roman"/>
          <w:color w:val="000000"/>
          <w:sz w:val="24"/>
          <w:szCs w:val="24"/>
          <w:shd w:val="clear" w:color="auto" w:fill="FFFFFF"/>
        </w:rPr>
        <w:t xml:space="preserve">-, электронной спектроскопии и подтверждено данными элементного анализа. </w:t>
      </w:r>
    </w:p>
    <w:p w:rsidR="00CD62B9" w:rsidRPr="000B5B4D" w:rsidRDefault="00CD62B9" w:rsidP="00037058">
      <w:pPr>
        <w:pStyle w:val="LO-normal"/>
        <w:shd w:val="clear" w:color="auto" w:fill="FFFFFF"/>
        <w:ind w:firstLine="397"/>
        <w:jc w:val="both"/>
        <w:rPr>
          <w:rFonts w:ascii="Times New Roman" w:hAnsi="Times New Roman" w:cs="Times New Roman"/>
          <w:color w:val="000000"/>
          <w:sz w:val="24"/>
          <w:szCs w:val="24"/>
        </w:rPr>
      </w:pPr>
      <w:r w:rsidRPr="000B5B4D">
        <w:rPr>
          <w:rFonts w:ascii="Times New Roman" w:hAnsi="Times New Roman" w:cs="Times New Roman"/>
          <w:color w:val="000000"/>
          <w:sz w:val="24"/>
          <w:szCs w:val="24"/>
        </w:rPr>
        <w:t xml:space="preserve">Методами электронной спектроскопии было исследовано комплексообразование между </w:t>
      </w:r>
      <w:proofErr w:type="spellStart"/>
      <w:r w:rsidRPr="000B5B4D">
        <w:rPr>
          <w:rFonts w:ascii="Times New Roman" w:hAnsi="Times New Roman" w:cs="Times New Roman"/>
          <w:color w:val="000000"/>
          <w:sz w:val="24"/>
          <w:szCs w:val="24"/>
        </w:rPr>
        <w:t>бисазакраунсодержащим</w:t>
      </w:r>
      <w:proofErr w:type="spellEnd"/>
      <w:r w:rsidR="002A171F">
        <w:rPr>
          <w:rFonts w:ascii="Times New Roman" w:hAnsi="Times New Roman" w:cs="Times New Roman"/>
          <w:color w:val="000000"/>
          <w:sz w:val="24"/>
          <w:szCs w:val="24"/>
        </w:rPr>
        <w:t xml:space="preserve"> </w:t>
      </w:r>
      <w:proofErr w:type="spellStart"/>
      <w:r w:rsidRPr="000B5B4D">
        <w:rPr>
          <w:rFonts w:ascii="Times New Roman" w:hAnsi="Times New Roman" w:cs="Times New Roman"/>
          <w:color w:val="000000"/>
          <w:sz w:val="24"/>
          <w:szCs w:val="24"/>
        </w:rPr>
        <w:t>диеноном</w:t>
      </w:r>
      <w:proofErr w:type="spellEnd"/>
      <w:r w:rsidR="002A171F">
        <w:rPr>
          <w:rFonts w:ascii="Times New Roman" w:hAnsi="Times New Roman" w:cs="Times New Roman"/>
          <w:color w:val="000000"/>
          <w:sz w:val="24"/>
          <w:szCs w:val="24"/>
        </w:rPr>
        <w:t xml:space="preserve"> </w:t>
      </w:r>
      <w:r w:rsidRPr="000B5B4D">
        <w:rPr>
          <w:rFonts w:ascii="Times New Roman" w:hAnsi="Times New Roman" w:cs="Times New Roman"/>
          <w:b/>
          <w:color w:val="000000"/>
          <w:sz w:val="24"/>
          <w:szCs w:val="24"/>
        </w:rPr>
        <w:t>1</w:t>
      </w:r>
      <w:r w:rsidRPr="000B5B4D">
        <w:rPr>
          <w:rFonts w:ascii="Times New Roman" w:hAnsi="Times New Roman" w:cs="Times New Roman"/>
          <w:color w:val="000000"/>
          <w:sz w:val="24"/>
          <w:szCs w:val="24"/>
        </w:rPr>
        <w:t xml:space="preserve"> и солями </w:t>
      </w:r>
      <w:proofErr w:type="spellStart"/>
      <w:r w:rsidRPr="000B5B4D">
        <w:rPr>
          <w:rFonts w:ascii="Times New Roman" w:hAnsi="Times New Roman" w:cs="Times New Roman"/>
          <w:color w:val="000000"/>
          <w:sz w:val="24"/>
          <w:szCs w:val="24"/>
        </w:rPr>
        <w:t>алкандиаммония</w:t>
      </w:r>
      <w:proofErr w:type="spellEnd"/>
      <w:r w:rsidR="00BC0BF3" w:rsidRPr="00BC0BF3">
        <w:rPr>
          <w:rFonts w:ascii="Times New Roman" w:hAnsi="Times New Roman" w:cs="Times New Roman"/>
          <w:color w:val="000000"/>
          <w:sz w:val="24"/>
          <w:szCs w:val="24"/>
        </w:rPr>
        <w:t xml:space="preserve"> </w:t>
      </w:r>
      <w:r w:rsidRPr="000B5B4D">
        <w:rPr>
          <w:rFonts w:ascii="Times New Roman" w:hAnsi="Times New Roman" w:cs="Times New Roman"/>
          <w:b/>
          <w:color w:val="000000"/>
          <w:sz w:val="24"/>
          <w:szCs w:val="24"/>
        </w:rPr>
        <w:t>С</w:t>
      </w:r>
      <w:r w:rsidRPr="000B5B4D">
        <w:rPr>
          <w:rFonts w:ascii="Times New Roman" w:hAnsi="Times New Roman" w:cs="Times New Roman"/>
          <w:b/>
          <w:color w:val="000000"/>
          <w:sz w:val="24"/>
          <w:szCs w:val="24"/>
          <w:vertAlign w:val="subscript"/>
          <w:lang w:val="en-US"/>
        </w:rPr>
        <w:t>n</w:t>
      </w:r>
      <w:r w:rsidRPr="000B5B4D">
        <w:rPr>
          <w:rFonts w:ascii="Times New Roman" w:hAnsi="Times New Roman" w:cs="Times New Roman"/>
          <w:color w:val="000000"/>
          <w:sz w:val="24"/>
          <w:szCs w:val="24"/>
        </w:rPr>
        <w:t xml:space="preserve">. При исследовании спектральных и комплексообразующих свойств соединения </w:t>
      </w:r>
      <w:r w:rsidRPr="000B5B4D">
        <w:rPr>
          <w:rFonts w:ascii="Times New Roman" w:hAnsi="Times New Roman" w:cs="Times New Roman"/>
          <w:b/>
          <w:color w:val="000000"/>
          <w:sz w:val="24"/>
          <w:szCs w:val="24"/>
        </w:rPr>
        <w:t>1</w:t>
      </w:r>
      <w:r w:rsidRPr="000B5B4D">
        <w:rPr>
          <w:rFonts w:ascii="Times New Roman" w:hAnsi="Times New Roman" w:cs="Times New Roman"/>
          <w:color w:val="000000"/>
          <w:sz w:val="24"/>
          <w:szCs w:val="24"/>
        </w:rPr>
        <w:t xml:space="preserve"> нами была обнаружена высокая чувствительность электронной структуры диенона</w:t>
      </w:r>
      <w:r w:rsidR="002A171F">
        <w:rPr>
          <w:rFonts w:ascii="Times New Roman" w:hAnsi="Times New Roman" w:cs="Times New Roman"/>
          <w:color w:val="000000"/>
          <w:sz w:val="24"/>
          <w:szCs w:val="24"/>
        </w:rPr>
        <w:t xml:space="preserve"> </w:t>
      </w:r>
      <w:r w:rsidRPr="000B5B4D">
        <w:rPr>
          <w:rFonts w:ascii="Times New Roman" w:hAnsi="Times New Roman" w:cs="Times New Roman"/>
          <w:b/>
          <w:color w:val="000000"/>
          <w:sz w:val="24"/>
          <w:szCs w:val="24"/>
        </w:rPr>
        <w:t>1</w:t>
      </w:r>
      <w:r w:rsidRPr="000B5B4D">
        <w:rPr>
          <w:rFonts w:ascii="Times New Roman" w:hAnsi="Times New Roman" w:cs="Times New Roman"/>
          <w:color w:val="000000"/>
          <w:sz w:val="24"/>
          <w:szCs w:val="24"/>
        </w:rPr>
        <w:t xml:space="preserve"> к </w:t>
      </w:r>
      <w:proofErr w:type="spellStart"/>
      <w:r w:rsidRPr="000B5B4D">
        <w:rPr>
          <w:rFonts w:ascii="Times New Roman" w:hAnsi="Times New Roman" w:cs="Times New Roman"/>
          <w:color w:val="000000"/>
          <w:sz w:val="24"/>
          <w:szCs w:val="24"/>
        </w:rPr>
        <w:t>комплексообразованию</w:t>
      </w:r>
      <w:proofErr w:type="spellEnd"/>
      <w:r w:rsidRPr="000B5B4D">
        <w:rPr>
          <w:rFonts w:ascii="Times New Roman" w:hAnsi="Times New Roman" w:cs="Times New Roman"/>
          <w:color w:val="000000"/>
          <w:sz w:val="24"/>
          <w:szCs w:val="24"/>
        </w:rPr>
        <w:t>. Показано, что в разбавленных растворах в ацетонитриле бис(</w:t>
      </w:r>
      <w:proofErr w:type="spellStart"/>
      <w:r w:rsidRPr="000B5B4D">
        <w:rPr>
          <w:rFonts w:ascii="Times New Roman" w:hAnsi="Times New Roman" w:cs="Times New Roman"/>
          <w:color w:val="000000"/>
          <w:sz w:val="24"/>
          <w:szCs w:val="24"/>
        </w:rPr>
        <w:t>азакраун</w:t>
      </w:r>
      <w:proofErr w:type="spellEnd"/>
      <w:r w:rsidRPr="000B5B4D">
        <w:rPr>
          <w:rFonts w:ascii="Times New Roman" w:hAnsi="Times New Roman" w:cs="Times New Roman"/>
          <w:color w:val="000000"/>
          <w:sz w:val="24"/>
          <w:szCs w:val="24"/>
        </w:rPr>
        <w:t>)диенон</w:t>
      </w:r>
      <w:r w:rsidR="002A171F">
        <w:rPr>
          <w:rFonts w:ascii="Times New Roman" w:hAnsi="Times New Roman" w:cs="Times New Roman"/>
          <w:color w:val="000000"/>
          <w:sz w:val="24"/>
          <w:szCs w:val="24"/>
        </w:rPr>
        <w:t xml:space="preserve"> </w:t>
      </w:r>
      <w:r w:rsidRPr="000B5B4D">
        <w:rPr>
          <w:rFonts w:ascii="Times New Roman" w:hAnsi="Times New Roman" w:cs="Times New Roman"/>
          <w:b/>
          <w:color w:val="000000"/>
          <w:sz w:val="24"/>
          <w:szCs w:val="24"/>
        </w:rPr>
        <w:t>1</w:t>
      </w:r>
      <w:r w:rsidRPr="000B5B4D">
        <w:rPr>
          <w:rFonts w:ascii="Times New Roman" w:hAnsi="Times New Roman" w:cs="Times New Roman"/>
          <w:color w:val="000000"/>
          <w:sz w:val="24"/>
          <w:szCs w:val="24"/>
        </w:rPr>
        <w:t xml:space="preserve"> образует устойчивые комплексы стехиометрии 1:1 и 1:2 с ионами </w:t>
      </w:r>
      <w:proofErr w:type="spellStart"/>
      <w:r w:rsidRPr="000B5B4D">
        <w:rPr>
          <w:rFonts w:ascii="Times New Roman" w:hAnsi="Times New Roman" w:cs="Times New Roman"/>
          <w:color w:val="000000"/>
          <w:sz w:val="24"/>
          <w:szCs w:val="24"/>
        </w:rPr>
        <w:t>алкандиаммония</w:t>
      </w:r>
      <w:proofErr w:type="spellEnd"/>
      <w:r w:rsidRPr="000B5B4D">
        <w:rPr>
          <w:rFonts w:ascii="Times New Roman" w:hAnsi="Times New Roman" w:cs="Times New Roman"/>
          <w:color w:val="000000"/>
          <w:sz w:val="24"/>
          <w:szCs w:val="24"/>
        </w:rPr>
        <w:t xml:space="preserve">, причем комплексы 1:2 характерны для катионов диаммония с короткой полиметиленовой цепью (до </w:t>
      </w:r>
      <w:r w:rsidRPr="000B5B4D">
        <w:rPr>
          <w:rFonts w:ascii="Times New Roman" w:hAnsi="Times New Roman" w:cs="Times New Roman"/>
          <w:color w:val="000000"/>
          <w:sz w:val="24"/>
          <w:szCs w:val="24"/>
          <w:lang w:val="en-US"/>
        </w:rPr>
        <w:t>n</w:t>
      </w:r>
      <w:r w:rsidRPr="000B5B4D">
        <w:rPr>
          <w:rFonts w:ascii="Times New Roman" w:hAnsi="Times New Roman" w:cs="Times New Roman"/>
          <w:color w:val="000000"/>
          <w:sz w:val="24"/>
          <w:szCs w:val="24"/>
        </w:rPr>
        <w:t xml:space="preserve"> = 5 включительно). При </w:t>
      </w:r>
      <w:r w:rsidRPr="000B5B4D">
        <w:rPr>
          <w:rFonts w:ascii="Times New Roman" w:hAnsi="Times New Roman" w:cs="Times New Roman"/>
          <w:color w:val="000000"/>
          <w:sz w:val="24"/>
          <w:szCs w:val="24"/>
          <w:lang w:val="en-US"/>
        </w:rPr>
        <w:t>n</w:t>
      </w:r>
      <w:r w:rsidRPr="000B5B4D">
        <w:rPr>
          <w:rFonts w:ascii="Times New Roman" w:hAnsi="Times New Roman" w:cs="Times New Roman"/>
          <w:color w:val="000000"/>
          <w:sz w:val="24"/>
          <w:szCs w:val="24"/>
        </w:rPr>
        <w:t xml:space="preserve"> = 6 и выше наблюдается преобладание более устойчивых комплексов псевдоциклического строения состава 1:1, что согласуется с геометрическими параметрами молекул диенона и катионов </w:t>
      </w:r>
      <w:proofErr w:type="spellStart"/>
      <w:r w:rsidRPr="000B5B4D">
        <w:rPr>
          <w:rFonts w:ascii="Times New Roman" w:hAnsi="Times New Roman" w:cs="Times New Roman"/>
          <w:color w:val="000000"/>
          <w:sz w:val="24"/>
          <w:szCs w:val="24"/>
        </w:rPr>
        <w:t>алкандиаммония</w:t>
      </w:r>
      <w:proofErr w:type="spellEnd"/>
      <w:r w:rsidRPr="000B5B4D">
        <w:rPr>
          <w:rFonts w:ascii="Times New Roman" w:hAnsi="Times New Roman" w:cs="Times New Roman"/>
          <w:color w:val="000000"/>
          <w:sz w:val="24"/>
          <w:szCs w:val="24"/>
        </w:rPr>
        <w:t xml:space="preserve">. </w:t>
      </w:r>
    </w:p>
    <w:p w:rsidR="00CD62B9" w:rsidRPr="000B5B4D" w:rsidRDefault="00CD62B9" w:rsidP="00323AAF">
      <w:pPr>
        <w:pStyle w:val="LO-normal"/>
        <w:shd w:val="clear" w:color="auto" w:fill="FFFFFF"/>
        <w:ind w:firstLine="397"/>
        <w:jc w:val="both"/>
        <w:rPr>
          <w:rFonts w:ascii="Times New Roman" w:hAnsi="Times New Roman" w:cs="Times New Roman"/>
          <w:color w:val="000000"/>
          <w:sz w:val="24"/>
          <w:szCs w:val="24"/>
        </w:rPr>
      </w:pPr>
      <w:r w:rsidRPr="000B5B4D">
        <w:rPr>
          <w:rFonts w:ascii="Times New Roman" w:hAnsi="Times New Roman" w:cs="Times New Roman"/>
          <w:color w:val="000000"/>
          <w:sz w:val="24"/>
          <w:szCs w:val="24"/>
        </w:rPr>
        <w:t xml:space="preserve">Результаты этого исследования могут быть использованы для разработки и создания оптических молекулярных сенсоров на катионы </w:t>
      </w:r>
      <w:proofErr w:type="spellStart"/>
      <w:r w:rsidRPr="000B5B4D">
        <w:rPr>
          <w:rFonts w:ascii="Times New Roman" w:hAnsi="Times New Roman" w:cs="Times New Roman"/>
          <w:color w:val="000000"/>
          <w:sz w:val="24"/>
          <w:szCs w:val="24"/>
        </w:rPr>
        <w:t>алкандиаммония</w:t>
      </w:r>
      <w:proofErr w:type="spellEnd"/>
      <w:r w:rsidRPr="000B5B4D">
        <w:rPr>
          <w:rFonts w:ascii="Times New Roman" w:hAnsi="Times New Roman" w:cs="Times New Roman"/>
          <w:color w:val="000000"/>
          <w:sz w:val="24"/>
          <w:szCs w:val="24"/>
        </w:rPr>
        <w:t xml:space="preserve">. </w:t>
      </w:r>
    </w:p>
    <w:p w:rsidR="00CD62B9" w:rsidRPr="000B5B4D" w:rsidRDefault="00CD62B9" w:rsidP="00850B40">
      <w:pPr>
        <w:pStyle w:val="LO-normal"/>
        <w:shd w:val="clear" w:color="auto" w:fill="FFFFFF"/>
        <w:ind w:firstLine="397"/>
        <w:jc w:val="both"/>
        <w:rPr>
          <w:rFonts w:ascii="Times New Roman" w:hAnsi="Times New Roman" w:cs="Times New Roman"/>
          <w:color w:val="000000"/>
          <w:sz w:val="24"/>
          <w:szCs w:val="24"/>
        </w:rPr>
      </w:pPr>
    </w:p>
    <w:p w:rsidR="00CD62B9" w:rsidRPr="000B5B4D" w:rsidRDefault="00CD62B9" w:rsidP="009D2DFE">
      <w:pPr>
        <w:shd w:val="clear" w:color="auto" w:fill="FFFFFF"/>
        <w:ind w:firstLine="397"/>
        <w:jc w:val="both"/>
        <w:rPr>
          <w:i/>
          <w:iCs/>
          <w:color w:val="000000"/>
        </w:rPr>
      </w:pPr>
      <w:r w:rsidRPr="000B5B4D">
        <w:rPr>
          <w:i/>
          <w:iCs/>
          <w:color w:val="000000"/>
        </w:rPr>
        <w:t>Работа выполнена при финансовой поддержке РНФ (проект №22</w:t>
      </w:r>
      <w:r w:rsidRPr="000B5B4D">
        <w:rPr>
          <w:i/>
          <w:iCs/>
          <w:color w:val="000000"/>
        </w:rPr>
        <w:noBreakHyphen/>
        <w:t>13</w:t>
      </w:r>
      <w:r w:rsidRPr="000B5B4D">
        <w:rPr>
          <w:i/>
          <w:iCs/>
          <w:color w:val="000000"/>
        </w:rPr>
        <w:noBreakHyphen/>
        <w:t>00064)</w:t>
      </w:r>
    </w:p>
    <w:p w:rsidR="00CD62B9" w:rsidRPr="000B5B4D" w:rsidRDefault="00CD62B9" w:rsidP="009D2DFE">
      <w:pPr>
        <w:shd w:val="clear" w:color="auto" w:fill="FFFFFF"/>
        <w:ind w:firstLine="397"/>
        <w:jc w:val="both"/>
        <w:rPr>
          <w:i/>
          <w:iCs/>
          <w:color w:val="000000"/>
        </w:rPr>
      </w:pPr>
    </w:p>
    <w:p w:rsidR="00CD62B9" w:rsidRPr="000B5B4D" w:rsidRDefault="00CD62B9" w:rsidP="00850B40">
      <w:pPr>
        <w:shd w:val="clear" w:color="auto" w:fill="FFFFFF"/>
        <w:jc w:val="center"/>
        <w:rPr>
          <w:b/>
          <w:color w:val="000000"/>
          <w:lang w:val="en-US"/>
        </w:rPr>
      </w:pPr>
      <w:r w:rsidRPr="000B5B4D">
        <w:rPr>
          <w:b/>
          <w:color w:val="000000"/>
        </w:rPr>
        <w:t>Литература</w:t>
      </w:r>
    </w:p>
    <w:p w:rsidR="00CD62B9" w:rsidRDefault="00C002E8" w:rsidP="00E9134D">
      <w:pPr>
        <w:shd w:val="clear" w:color="auto" w:fill="FFFFFF"/>
        <w:jc w:val="both"/>
        <w:rPr>
          <w:i/>
          <w:iCs/>
          <w:color w:val="000000"/>
        </w:rPr>
      </w:pPr>
      <w:r w:rsidRPr="000B5B4D">
        <w:rPr>
          <w:i/>
          <w:iCs/>
          <w:color w:val="000000"/>
          <w:lang w:val="en-US"/>
        </w:rPr>
        <w:fldChar w:fldCharType="begin" w:fldLock="1"/>
      </w:r>
      <w:r w:rsidR="00CD62B9" w:rsidRPr="000B5B4D">
        <w:rPr>
          <w:i/>
          <w:iCs/>
          <w:color w:val="000000"/>
          <w:lang w:val="en-US"/>
        </w:rPr>
        <w:instrText xml:space="preserve">ADDIN Mendeley Bibliography CSL_BIBLIOGRAPHY </w:instrText>
      </w:r>
      <w:r w:rsidRPr="000B5B4D">
        <w:rPr>
          <w:i/>
          <w:iCs/>
          <w:color w:val="000000"/>
          <w:lang w:val="en-US"/>
        </w:rPr>
        <w:fldChar w:fldCharType="separate"/>
      </w:r>
      <w:r w:rsidR="00CD62B9" w:rsidRPr="000B5B4D">
        <w:rPr>
          <w:noProof/>
          <w:lang w:val="en-US"/>
        </w:rPr>
        <w:t>1.</w:t>
      </w:r>
      <w:r w:rsidR="00CD62B9" w:rsidRPr="000B5B4D">
        <w:rPr>
          <w:noProof/>
          <w:lang w:val="en-US"/>
        </w:rPr>
        <w:tab/>
        <w:t>Späth A., Knig B. Molecular recognition of organic ammonium ions in solution using synthetic receptors // Beilstein J. Org. Chem. 2010. Vol. 6.</w:t>
      </w:r>
      <w:r w:rsidRPr="000B5B4D">
        <w:rPr>
          <w:i/>
          <w:iCs/>
          <w:color w:val="000000"/>
          <w:lang w:val="en-US"/>
        </w:rPr>
        <w:fldChar w:fldCharType="end"/>
      </w:r>
      <w:bookmarkStart w:id="0" w:name="_GoBack"/>
      <w:bookmarkEnd w:id="0"/>
    </w:p>
    <w:p w:rsidR="00CD62B9" w:rsidRDefault="00CD62B9" w:rsidP="00323AAF">
      <w:pPr>
        <w:shd w:val="clear" w:color="auto" w:fill="FFFFFF"/>
        <w:rPr>
          <w:color w:val="000000"/>
          <w:lang w:val="en-US"/>
        </w:rPr>
      </w:pPr>
    </w:p>
    <w:sectPr w:rsidR="00CD62B9" w:rsidSect="00A30CA7">
      <w:pgSz w:w="11906" w:h="16838"/>
      <w:pgMar w:top="1134" w:right="1361" w:bottom="1134" w:left="1361" w:header="0" w:footer="0" w:gutter="0"/>
      <w:pgNumType w:start="1"/>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A7"/>
    <w:rsid w:val="000150B5"/>
    <w:rsid w:val="00037058"/>
    <w:rsid w:val="00094ADB"/>
    <w:rsid w:val="00094E94"/>
    <w:rsid w:val="000B5B4D"/>
    <w:rsid w:val="000B750A"/>
    <w:rsid w:val="000C2316"/>
    <w:rsid w:val="0013175E"/>
    <w:rsid w:val="00165A9F"/>
    <w:rsid w:val="001707B6"/>
    <w:rsid w:val="001868E2"/>
    <w:rsid w:val="00192687"/>
    <w:rsid w:val="001A13D7"/>
    <w:rsid w:val="001C75A9"/>
    <w:rsid w:val="001F0BDB"/>
    <w:rsid w:val="00223710"/>
    <w:rsid w:val="0026779B"/>
    <w:rsid w:val="002A171F"/>
    <w:rsid w:val="002B16D9"/>
    <w:rsid w:val="002B56E6"/>
    <w:rsid w:val="002E18A1"/>
    <w:rsid w:val="002F7E65"/>
    <w:rsid w:val="00306EEC"/>
    <w:rsid w:val="00322726"/>
    <w:rsid w:val="00323AAF"/>
    <w:rsid w:val="00326551"/>
    <w:rsid w:val="00326984"/>
    <w:rsid w:val="00326B65"/>
    <w:rsid w:val="00333324"/>
    <w:rsid w:val="0034369E"/>
    <w:rsid w:val="003561FC"/>
    <w:rsid w:val="00395F59"/>
    <w:rsid w:val="003C5D63"/>
    <w:rsid w:val="004049FA"/>
    <w:rsid w:val="00437748"/>
    <w:rsid w:val="00456C73"/>
    <w:rsid w:val="00536D8C"/>
    <w:rsid w:val="0055110D"/>
    <w:rsid w:val="005955A9"/>
    <w:rsid w:val="005A4F91"/>
    <w:rsid w:val="005D35DE"/>
    <w:rsid w:val="00683E25"/>
    <w:rsid w:val="00712D61"/>
    <w:rsid w:val="00735384"/>
    <w:rsid w:val="0078220E"/>
    <w:rsid w:val="00787F4B"/>
    <w:rsid w:val="007E72BB"/>
    <w:rsid w:val="008010B7"/>
    <w:rsid w:val="008251CE"/>
    <w:rsid w:val="008374C3"/>
    <w:rsid w:val="00842418"/>
    <w:rsid w:val="00850B40"/>
    <w:rsid w:val="00852304"/>
    <w:rsid w:val="008C2591"/>
    <w:rsid w:val="009101EB"/>
    <w:rsid w:val="009D2DFE"/>
    <w:rsid w:val="009E0891"/>
    <w:rsid w:val="00A13047"/>
    <w:rsid w:val="00A20FE6"/>
    <w:rsid w:val="00A30CA7"/>
    <w:rsid w:val="00AB27E3"/>
    <w:rsid w:val="00AB6152"/>
    <w:rsid w:val="00AC7C26"/>
    <w:rsid w:val="00B16247"/>
    <w:rsid w:val="00B60AA3"/>
    <w:rsid w:val="00B91F06"/>
    <w:rsid w:val="00BC0BF3"/>
    <w:rsid w:val="00C001C1"/>
    <w:rsid w:val="00C002E8"/>
    <w:rsid w:val="00CD62B9"/>
    <w:rsid w:val="00CE3B8F"/>
    <w:rsid w:val="00CF0CF1"/>
    <w:rsid w:val="00D06BB4"/>
    <w:rsid w:val="00D12381"/>
    <w:rsid w:val="00D50BBF"/>
    <w:rsid w:val="00DC36A0"/>
    <w:rsid w:val="00DE1057"/>
    <w:rsid w:val="00E23E91"/>
    <w:rsid w:val="00E313DF"/>
    <w:rsid w:val="00E5569B"/>
    <w:rsid w:val="00E83861"/>
    <w:rsid w:val="00E9134D"/>
    <w:rsid w:val="00F222BB"/>
    <w:rsid w:val="00F41CA9"/>
    <w:rsid w:val="00F708FB"/>
    <w:rsid w:val="00F97747"/>
    <w:rsid w:val="00FA7669"/>
    <w:rsid w:val="00FD0C99"/>
    <w:rsid w:val="00FD3F84"/>
    <w:rsid w:val="00FE3C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06"/>
    <w:pPr>
      <w:suppressAutoHyphens/>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rsid w:val="00A30CA7"/>
    <w:pPr>
      <w:keepNext/>
      <w:keepLines/>
      <w:spacing w:before="480" w:after="120"/>
      <w:outlineLvl w:val="0"/>
    </w:pPr>
    <w:rPr>
      <w:b/>
      <w:sz w:val="48"/>
      <w:szCs w:val="48"/>
    </w:rPr>
  </w:style>
  <w:style w:type="paragraph" w:customStyle="1" w:styleId="21">
    <w:name w:val="Заголовок 21"/>
    <w:basedOn w:val="a"/>
    <w:next w:val="a"/>
    <w:uiPriority w:val="99"/>
    <w:semiHidden/>
    <w:rsid w:val="00A30CA7"/>
    <w:pPr>
      <w:keepNext/>
      <w:keepLines/>
      <w:spacing w:before="360" w:after="80"/>
      <w:outlineLvl w:val="1"/>
    </w:pPr>
    <w:rPr>
      <w:b/>
      <w:sz w:val="36"/>
      <w:szCs w:val="36"/>
    </w:rPr>
  </w:style>
  <w:style w:type="paragraph" w:customStyle="1" w:styleId="31">
    <w:name w:val="Заголовок 31"/>
    <w:basedOn w:val="a"/>
    <w:next w:val="a"/>
    <w:uiPriority w:val="99"/>
    <w:semiHidden/>
    <w:rsid w:val="00A30CA7"/>
    <w:pPr>
      <w:keepNext/>
      <w:keepLines/>
      <w:spacing w:before="280" w:after="80"/>
      <w:outlineLvl w:val="2"/>
    </w:pPr>
    <w:rPr>
      <w:b/>
      <w:sz w:val="28"/>
      <w:szCs w:val="28"/>
    </w:rPr>
  </w:style>
  <w:style w:type="paragraph" w:customStyle="1" w:styleId="41">
    <w:name w:val="Заголовок 41"/>
    <w:basedOn w:val="a"/>
    <w:next w:val="a"/>
    <w:uiPriority w:val="99"/>
    <w:semiHidden/>
    <w:rsid w:val="00A30CA7"/>
    <w:pPr>
      <w:keepNext/>
      <w:keepLines/>
      <w:spacing w:before="240" w:after="40"/>
      <w:outlineLvl w:val="3"/>
    </w:pPr>
    <w:rPr>
      <w:b/>
    </w:rPr>
  </w:style>
  <w:style w:type="paragraph" w:customStyle="1" w:styleId="51">
    <w:name w:val="Заголовок 51"/>
    <w:basedOn w:val="a"/>
    <w:next w:val="a"/>
    <w:uiPriority w:val="99"/>
    <w:semiHidden/>
    <w:rsid w:val="00A30CA7"/>
    <w:pPr>
      <w:keepNext/>
      <w:keepLines/>
      <w:spacing w:before="220" w:after="40"/>
      <w:outlineLvl w:val="4"/>
    </w:pPr>
    <w:rPr>
      <w:b/>
      <w:sz w:val="22"/>
      <w:szCs w:val="22"/>
    </w:rPr>
  </w:style>
  <w:style w:type="paragraph" w:customStyle="1" w:styleId="61">
    <w:name w:val="Заголовок 61"/>
    <w:basedOn w:val="a"/>
    <w:next w:val="a"/>
    <w:uiPriority w:val="99"/>
    <w:semiHidden/>
    <w:rsid w:val="00A30CA7"/>
    <w:pPr>
      <w:keepNext/>
      <w:keepLines/>
      <w:spacing w:before="200" w:after="40"/>
      <w:outlineLvl w:val="5"/>
    </w:pPr>
    <w:rPr>
      <w:b/>
      <w:sz w:val="20"/>
      <w:szCs w:val="20"/>
    </w:rPr>
  </w:style>
  <w:style w:type="character" w:customStyle="1" w:styleId="a3">
    <w:name w:val="Абзац списка Знак"/>
    <w:link w:val="a4"/>
    <w:uiPriority w:val="99"/>
    <w:locked/>
    <w:rsid w:val="00AB27E3"/>
    <w:rPr>
      <w:rFonts w:cs="Times New Roman"/>
    </w:rPr>
  </w:style>
  <w:style w:type="character" w:styleId="a5">
    <w:name w:val="Placeholder Text"/>
    <w:uiPriority w:val="99"/>
    <w:semiHidden/>
    <w:rsid w:val="00AB27E3"/>
    <w:rPr>
      <w:rFonts w:cs="Times New Roman"/>
      <w:color w:val="808080"/>
    </w:rPr>
  </w:style>
  <w:style w:type="character" w:styleId="a6">
    <w:name w:val="Hyperlink"/>
    <w:uiPriority w:val="99"/>
    <w:rsid w:val="00AB27E3"/>
    <w:rPr>
      <w:rFonts w:cs="Times New Roman"/>
      <w:color w:val="0000FF"/>
      <w:u w:val="single"/>
    </w:rPr>
  </w:style>
  <w:style w:type="character" w:customStyle="1" w:styleId="UnresolvedMention">
    <w:name w:val="Unresolved Mention"/>
    <w:uiPriority w:val="99"/>
    <w:semiHidden/>
    <w:rsid w:val="00AB27E3"/>
    <w:rPr>
      <w:rFonts w:cs="Times New Roman"/>
      <w:color w:val="605E5C"/>
      <w:shd w:val="clear" w:color="auto" w:fill="E1DFDD"/>
    </w:rPr>
  </w:style>
  <w:style w:type="paragraph" w:customStyle="1" w:styleId="a7">
    <w:name w:val="Заголовок"/>
    <w:basedOn w:val="a"/>
    <w:next w:val="a8"/>
    <w:uiPriority w:val="99"/>
    <w:rsid w:val="00A30CA7"/>
    <w:pPr>
      <w:keepNext/>
      <w:spacing w:before="240" w:after="120"/>
    </w:pPr>
    <w:rPr>
      <w:rFonts w:ascii="Liberation Sans" w:eastAsia="Microsoft YaHei" w:hAnsi="Liberation Sans" w:cs="Arial"/>
      <w:sz w:val="28"/>
      <w:szCs w:val="28"/>
    </w:rPr>
  </w:style>
  <w:style w:type="paragraph" w:styleId="a8">
    <w:name w:val="Body Text"/>
    <w:basedOn w:val="a"/>
    <w:link w:val="a9"/>
    <w:uiPriority w:val="99"/>
    <w:rsid w:val="00A30CA7"/>
    <w:pPr>
      <w:spacing w:after="140" w:line="276" w:lineRule="auto"/>
    </w:pPr>
  </w:style>
  <w:style w:type="character" w:customStyle="1" w:styleId="a9">
    <w:name w:val="Основной текст Знак"/>
    <w:link w:val="a8"/>
    <w:uiPriority w:val="99"/>
    <w:locked/>
    <w:rsid w:val="0013175E"/>
    <w:rPr>
      <w:rFonts w:ascii="Times New Roman" w:hAnsi="Times New Roman" w:cs="Times New Roman"/>
      <w:sz w:val="24"/>
      <w:szCs w:val="24"/>
    </w:rPr>
  </w:style>
  <w:style w:type="paragraph" w:styleId="aa">
    <w:name w:val="List"/>
    <w:basedOn w:val="a8"/>
    <w:uiPriority w:val="99"/>
    <w:rsid w:val="00A30CA7"/>
    <w:rPr>
      <w:rFonts w:cs="Arial"/>
    </w:rPr>
  </w:style>
  <w:style w:type="paragraph" w:customStyle="1" w:styleId="1">
    <w:name w:val="Название объекта1"/>
    <w:basedOn w:val="a"/>
    <w:uiPriority w:val="99"/>
    <w:rsid w:val="00A30CA7"/>
    <w:pPr>
      <w:suppressLineNumbers/>
      <w:spacing w:before="120" w:after="120"/>
    </w:pPr>
    <w:rPr>
      <w:rFonts w:cs="Arial"/>
      <w:i/>
      <w:iCs/>
    </w:rPr>
  </w:style>
  <w:style w:type="paragraph" w:styleId="10">
    <w:name w:val="index 1"/>
    <w:basedOn w:val="a"/>
    <w:next w:val="a"/>
    <w:autoRedefine/>
    <w:uiPriority w:val="99"/>
    <w:semiHidden/>
    <w:rsid w:val="00AB27E3"/>
    <w:pPr>
      <w:ind w:left="240" w:hanging="240"/>
    </w:pPr>
  </w:style>
  <w:style w:type="paragraph" w:styleId="ab">
    <w:name w:val="index heading"/>
    <w:basedOn w:val="a"/>
    <w:uiPriority w:val="99"/>
    <w:rsid w:val="00A30CA7"/>
    <w:pPr>
      <w:suppressLineNumbers/>
    </w:pPr>
    <w:rPr>
      <w:rFonts w:cs="Arial"/>
    </w:rPr>
  </w:style>
  <w:style w:type="paragraph" w:styleId="ac">
    <w:name w:val="Title"/>
    <w:basedOn w:val="a"/>
    <w:next w:val="a"/>
    <w:link w:val="ad"/>
    <w:uiPriority w:val="99"/>
    <w:qFormat/>
    <w:rsid w:val="00A30CA7"/>
    <w:pPr>
      <w:keepNext/>
      <w:keepLines/>
      <w:spacing w:before="480" w:after="120"/>
    </w:pPr>
    <w:rPr>
      <w:b/>
      <w:sz w:val="72"/>
      <w:szCs w:val="72"/>
    </w:rPr>
  </w:style>
  <w:style w:type="character" w:customStyle="1" w:styleId="ad">
    <w:name w:val="Название Знак"/>
    <w:link w:val="ac"/>
    <w:uiPriority w:val="10"/>
    <w:rsid w:val="00A76C10"/>
    <w:rPr>
      <w:rFonts w:ascii="Cambria" w:eastAsia="Times New Roman" w:hAnsi="Cambria" w:cs="Times New Roman"/>
      <w:b/>
      <w:bCs/>
      <w:kern w:val="28"/>
      <w:sz w:val="32"/>
      <w:szCs w:val="32"/>
    </w:rPr>
  </w:style>
  <w:style w:type="paragraph" w:styleId="ae">
    <w:name w:val="Subtitle"/>
    <w:basedOn w:val="a"/>
    <w:next w:val="a"/>
    <w:link w:val="af"/>
    <w:uiPriority w:val="99"/>
    <w:qFormat/>
    <w:rsid w:val="00A30CA7"/>
    <w:pPr>
      <w:keepNext/>
      <w:keepLines/>
      <w:spacing w:before="360" w:after="80"/>
    </w:pPr>
    <w:rPr>
      <w:rFonts w:ascii="Georgia" w:eastAsia="Calibri" w:hAnsi="Georgia" w:cs="Georgia"/>
      <w:i/>
      <w:color w:val="666666"/>
      <w:sz w:val="48"/>
      <w:szCs w:val="48"/>
    </w:rPr>
  </w:style>
  <w:style w:type="character" w:customStyle="1" w:styleId="af">
    <w:name w:val="Подзаголовок Знак"/>
    <w:link w:val="ae"/>
    <w:uiPriority w:val="11"/>
    <w:rsid w:val="00A76C10"/>
    <w:rPr>
      <w:rFonts w:ascii="Cambria" w:eastAsia="Times New Roman" w:hAnsi="Cambria" w:cs="Times New Roman"/>
      <w:sz w:val="24"/>
      <w:szCs w:val="24"/>
    </w:rPr>
  </w:style>
  <w:style w:type="paragraph" w:styleId="a4">
    <w:name w:val="List Paragraph"/>
    <w:basedOn w:val="a"/>
    <w:link w:val="a3"/>
    <w:uiPriority w:val="99"/>
    <w:qFormat/>
    <w:rsid w:val="00AB27E3"/>
    <w:pPr>
      <w:ind w:left="720"/>
      <w:contextualSpacing/>
    </w:pPr>
  </w:style>
  <w:style w:type="paragraph" w:styleId="af0">
    <w:name w:val="No Spacing"/>
    <w:uiPriority w:val="99"/>
    <w:qFormat/>
    <w:rsid w:val="00AB27E3"/>
    <w:pPr>
      <w:suppressAutoHyphens/>
    </w:pPr>
    <w:rPr>
      <w:rFonts w:cs="Times New Roman"/>
      <w:sz w:val="22"/>
      <w:szCs w:val="22"/>
      <w:lang w:val="en-US" w:eastAsia="en-US"/>
    </w:rPr>
  </w:style>
  <w:style w:type="table" w:customStyle="1" w:styleId="TableNormal1">
    <w:name w:val="Table Normal1"/>
    <w:uiPriority w:val="99"/>
    <w:rsid w:val="00A30CA7"/>
    <w:pPr>
      <w:suppressAutoHyphens/>
    </w:pPr>
    <w:tblPr>
      <w:tblCellMar>
        <w:top w:w="0" w:type="dxa"/>
        <w:left w:w="0" w:type="dxa"/>
        <w:bottom w:w="0" w:type="dxa"/>
        <w:right w:w="0" w:type="dxa"/>
      </w:tblCellMar>
    </w:tblPr>
  </w:style>
  <w:style w:type="paragraph" w:styleId="af1">
    <w:name w:val="Balloon Text"/>
    <w:basedOn w:val="a"/>
    <w:link w:val="af2"/>
    <w:uiPriority w:val="99"/>
    <w:semiHidden/>
    <w:rsid w:val="00333324"/>
    <w:rPr>
      <w:rFonts w:ascii="Tahoma" w:hAnsi="Tahoma" w:cs="Tahoma"/>
      <w:sz w:val="16"/>
      <w:szCs w:val="16"/>
    </w:rPr>
  </w:style>
  <w:style w:type="character" w:customStyle="1" w:styleId="af2">
    <w:name w:val="Текст выноски Знак"/>
    <w:link w:val="af1"/>
    <w:uiPriority w:val="99"/>
    <w:semiHidden/>
    <w:locked/>
    <w:rsid w:val="00333324"/>
    <w:rPr>
      <w:rFonts w:ascii="Tahoma" w:hAnsi="Tahoma" w:cs="Tahoma"/>
      <w:sz w:val="16"/>
      <w:szCs w:val="16"/>
    </w:rPr>
  </w:style>
  <w:style w:type="paragraph" w:customStyle="1" w:styleId="LO-normal">
    <w:name w:val="LO-normal"/>
    <w:uiPriority w:val="99"/>
    <w:rsid w:val="00333324"/>
    <w:pPr>
      <w:suppressAutoHyphens/>
    </w:pPr>
  </w:style>
  <w:style w:type="table" w:styleId="af3">
    <w:name w:val="Table Grid"/>
    <w:basedOn w:val="a1"/>
    <w:uiPriority w:val="99"/>
    <w:rsid w:val="007E72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file:///G:\Fomina\FOMINA\Conference\&#1051;&#1086;&#1084;&#1086;&#1085;&#1086;&#1089;&#1086;&#1074;%202023\ilia.zdorovenko@gmail.com"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4535</Characters>
  <Application>Microsoft Office Word</Application>
  <DocSecurity>0</DocSecurity>
  <Lines>37</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ZdorovenkoIP</dc:creator>
  <cp:lastModifiedBy>MisterLego</cp:lastModifiedBy>
  <cp:revision>2</cp:revision>
  <dcterms:created xsi:type="dcterms:W3CDTF">2023-02-17T11:04:00Z</dcterms:created>
  <dcterms:modified xsi:type="dcterms:W3CDTF">2023-02-17T11:04:00Z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http://csl.mendeley.com/styles/478725591/disser-main</vt:lpwstr>
  </property>
  <property fmtid="{D5CDD505-2E9C-101B-9397-08002B2CF9AE}" pid="3" name="Mendeley Document_1">
    <vt:lpwstr>True</vt:lpwstr>
  </property>
  <property fmtid="{D5CDD505-2E9C-101B-9397-08002B2CF9AE}" pid="4" name="Mendeley Recent Style Id 0_1">
    <vt:lpwstr>http://www.zotero.org/styles/apa</vt:lpwstr>
  </property>
  <property fmtid="{D5CDD505-2E9C-101B-9397-08002B2CF9AE}" pid="5" name="Mendeley Recent Style Id 1_1">
    <vt:lpwstr>http://www.zotero.org/styles/american-sociological-association</vt:lpwstr>
  </property>
  <property fmtid="{D5CDD505-2E9C-101B-9397-08002B2CF9AE}" pid="6" name="Mendeley Recent Style Id 2_1">
    <vt:lpwstr>http://www.zotero.org/styles/chicago-author-date</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http://www.zotero.org/styles/ieee</vt:lpwstr>
  </property>
  <property fmtid="{D5CDD505-2E9C-101B-9397-08002B2CF9AE}" pid="9" name="Mendeley Recent Style Id 5_1">
    <vt:lpwstr>http://www.zotero.org/styles/modern-humanities-research-association</vt:lpwstr>
  </property>
  <property fmtid="{D5CDD505-2E9C-101B-9397-08002B2CF9AE}" pid="10" name="Mendeley Recent Style Id 6_1">
    <vt:lpwstr>http://www.zotero.org/styles/modern-language-association</vt:lpwstr>
  </property>
  <property fmtid="{D5CDD505-2E9C-101B-9397-08002B2CF9AE}" pid="11" name="Mendeley Recent Style Id 7_1">
    <vt:lpwstr>http://www.zotero.org/styles/nature</vt:lpwstr>
  </property>
  <property fmtid="{D5CDD505-2E9C-101B-9397-08002B2CF9AE}" pid="12" name="Mendeley Recent Style Id 8_1">
    <vt:lpwstr>http://csl.mendeley.com/styles/478725591/disser-main</vt:lpwstr>
  </property>
  <property fmtid="{D5CDD505-2E9C-101B-9397-08002B2CF9AE}" pid="13" name="Mendeley Recent Style Id 9_1">
    <vt:lpwstr>http://www.zotero.org/styles/gost-r-7-0-5-2008-numeric</vt:lpwstr>
  </property>
  <property fmtid="{D5CDD505-2E9C-101B-9397-08002B2CF9AE}" pid="14" name="Mendeley Recent Style Name 0_1">
    <vt:lpwstr>American Psychological Association 7th edition</vt:lpwstr>
  </property>
  <property fmtid="{D5CDD505-2E9C-101B-9397-08002B2CF9AE}" pid="15" name="Mendeley Recent Style Name 1_1">
    <vt:lpwstr>American Sociological Association 6th edition</vt:lpwstr>
  </property>
  <property fmtid="{D5CDD505-2E9C-101B-9397-08002B2CF9AE}" pid="16" name="Mendeley Recent Style Name 2_1">
    <vt:lpwstr>Chicago Manual of Style 17th edition (author-date)</vt:lpwstr>
  </property>
  <property fmtid="{D5CDD505-2E9C-101B-9397-08002B2CF9AE}" pid="17" name="Mendeley Recent Style Name 3_1">
    <vt:lpwstr>Cite Them Right 10th edition - Harvard</vt:lpwstr>
  </property>
  <property fmtid="{D5CDD505-2E9C-101B-9397-08002B2CF9AE}" pid="18" name="Mendeley Recent Style Name 4_1">
    <vt:lpwstr>IEEE</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Name 6_1">
    <vt:lpwstr>Modern Language Association 8th edition</vt:lpwstr>
  </property>
  <property fmtid="{D5CDD505-2E9C-101B-9397-08002B2CF9AE}" pid="21" name="Mendeley Recent Style Name 7_1">
    <vt:lpwstr>Nature</vt:lpwstr>
  </property>
  <property fmtid="{D5CDD505-2E9C-101B-9397-08002B2CF9AE}" pid="22" name="Mendeley Recent Style Name 8_1">
    <vt:lpwstr>Russian GOST R 7.0.5-2008 (disser-pril) - Alexander Polyakov</vt:lpwstr>
  </property>
  <property fmtid="{D5CDD505-2E9C-101B-9397-08002B2CF9AE}" pid="23" name="Mendeley Recent Style Name 9_1">
    <vt:lpwstr>Russian GOST R 7.0.5-2008 (numeric)</vt:lpwstr>
  </property>
  <property fmtid="{D5CDD505-2E9C-101B-9397-08002B2CF9AE}" pid="24" name="Mendeley Unique User Id_1">
    <vt:lpwstr>cb0465ed-2195-353f-9e17-7abbad331404</vt:lpwstr>
  </property>
</Properties>
</file>