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F41F16" w:rsidP="003E0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Синтез</w:t>
      </w:r>
      <w:r w:rsidR="001B0692">
        <w:rPr>
          <w:b/>
          <w:color w:val="000000"/>
        </w:rPr>
        <w:t xml:space="preserve"> </w:t>
      </w:r>
      <w:r w:rsidR="001B0692">
        <w:rPr>
          <w:b/>
          <w:color w:val="000000"/>
          <w:lang w:val="en-US"/>
        </w:rPr>
        <w:t>SCN</w:t>
      </w:r>
      <w:r w:rsidR="001B0692">
        <w:rPr>
          <w:b/>
          <w:color w:val="000000"/>
        </w:rPr>
        <w:t>-производных барбитуровых кислот с использованием электрического тока</w:t>
      </w:r>
    </w:p>
    <w:p w:rsidR="00130241" w:rsidRPr="00D52B29" w:rsidRDefault="001B0692" w:rsidP="003E0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52B29">
        <w:rPr>
          <w:b/>
          <w:i/>
          <w:color w:val="000000"/>
        </w:rPr>
        <w:t>Кириллов</w:t>
      </w:r>
      <w:r w:rsidR="00EB1F49" w:rsidRPr="00D52B29">
        <w:rPr>
          <w:b/>
          <w:i/>
          <w:color w:val="000000"/>
        </w:rPr>
        <w:t xml:space="preserve"> </w:t>
      </w:r>
      <w:r w:rsidRPr="00D52B29">
        <w:rPr>
          <w:b/>
          <w:i/>
          <w:color w:val="000000"/>
        </w:rPr>
        <w:t>А</w:t>
      </w:r>
      <w:r w:rsidR="00EB1F49" w:rsidRPr="00D52B29">
        <w:rPr>
          <w:b/>
          <w:i/>
          <w:color w:val="000000"/>
        </w:rPr>
        <w:t>.</w:t>
      </w:r>
      <w:r w:rsidRPr="00D52B29">
        <w:rPr>
          <w:b/>
          <w:i/>
          <w:color w:val="000000"/>
        </w:rPr>
        <w:t>С</w:t>
      </w:r>
      <w:r w:rsidR="00EB1F49" w:rsidRPr="00D52B29">
        <w:rPr>
          <w:b/>
          <w:i/>
          <w:color w:val="000000"/>
        </w:rPr>
        <w:t xml:space="preserve">., </w:t>
      </w:r>
      <w:proofErr w:type="spellStart"/>
      <w:r w:rsidRPr="00D52B29">
        <w:rPr>
          <w:b/>
          <w:i/>
          <w:color w:val="000000"/>
        </w:rPr>
        <w:t>Виль</w:t>
      </w:r>
      <w:proofErr w:type="spellEnd"/>
      <w:r w:rsidR="00EB1F49" w:rsidRPr="00D52B29">
        <w:rPr>
          <w:b/>
          <w:i/>
          <w:color w:val="000000"/>
        </w:rPr>
        <w:t xml:space="preserve"> </w:t>
      </w:r>
      <w:r w:rsidRPr="00D52B29">
        <w:rPr>
          <w:b/>
          <w:i/>
          <w:color w:val="000000"/>
        </w:rPr>
        <w:t>В</w:t>
      </w:r>
      <w:r w:rsidR="00EB1F49" w:rsidRPr="00D52B29">
        <w:rPr>
          <w:b/>
          <w:i/>
          <w:color w:val="000000"/>
        </w:rPr>
        <w:t>.</w:t>
      </w:r>
      <w:r w:rsidRPr="00D52B29">
        <w:rPr>
          <w:b/>
          <w:i/>
          <w:color w:val="000000"/>
        </w:rPr>
        <w:t>А</w:t>
      </w:r>
      <w:r w:rsidR="00EB1F49" w:rsidRPr="00D52B29">
        <w:rPr>
          <w:b/>
          <w:i/>
          <w:color w:val="000000"/>
        </w:rPr>
        <w:t>.</w:t>
      </w:r>
      <w:r w:rsidRPr="00D52B29">
        <w:rPr>
          <w:b/>
          <w:i/>
          <w:color w:val="000000"/>
        </w:rPr>
        <w:t xml:space="preserve">, </w:t>
      </w:r>
      <w:proofErr w:type="spellStart"/>
      <w:r w:rsidRPr="00D52B29">
        <w:rPr>
          <w:b/>
          <w:i/>
          <w:color w:val="000000"/>
        </w:rPr>
        <w:t>Битюков</w:t>
      </w:r>
      <w:proofErr w:type="spellEnd"/>
      <w:r w:rsidRPr="00D52B29">
        <w:rPr>
          <w:b/>
          <w:i/>
          <w:color w:val="000000"/>
        </w:rPr>
        <w:t xml:space="preserve"> О.В., Терентьев А.О.</w:t>
      </w:r>
    </w:p>
    <w:p w:rsidR="00130241" w:rsidRDefault="001B0692" w:rsidP="003E0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курс</w:t>
      </w:r>
    </w:p>
    <w:p w:rsidR="00130241" w:rsidRDefault="001B0692" w:rsidP="003E0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</w:rPr>
        <w:t>Институт органической химии им. Н. Д. Зелинского РАН</w:t>
      </w:r>
      <w:r w:rsidR="00EB1F49">
        <w:rPr>
          <w:i/>
          <w:color w:val="000000"/>
        </w:rPr>
        <w:t>, Москва, Россия</w:t>
      </w:r>
    </w:p>
    <w:p w:rsidR="00130241" w:rsidRPr="00D66D41" w:rsidRDefault="00EB1F49" w:rsidP="003E0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52B29">
        <w:rPr>
          <w:i/>
          <w:color w:val="000000"/>
          <w:lang w:val="en-US"/>
        </w:rPr>
        <w:t>E</w:t>
      </w:r>
      <w:r w:rsidR="003B76D6" w:rsidRPr="00D52B29">
        <w:rPr>
          <w:i/>
          <w:color w:val="000000"/>
          <w:lang w:val="en-US"/>
        </w:rPr>
        <w:t>-</w:t>
      </w:r>
      <w:r w:rsidRPr="00D52B29">
        <w:rPr>
          <w:i/>
          <w:color w:val="000000"/>
          <w:lang w:val="en-US"/>
        </w:rPr>
        <w:t xml:space="preserve">mail: </w:t>
      </w:r>
      <w:r w:rsidR="005032B3" w:rsidRPr="00D66D41">
        <w:rPr>
          <w:i/>
          <w:color w:val="000000"/>
          <w:u w:val="single"/>
          <w:lang w:val="en-US"/>
        </w:rPr>
        <w:t>pilipchuk.andrei2014@yandex.ru</w:t>
      </w:r>
    </w:p>
    <w:p w:rsidR="005032B3" w:rsidRDefault="005032B3" w:rsidP="003E0E16">
      <w:pPr>
        <w:ind w:firstLine="567"/>
        <w:jc w:val="both"/>
      </w:pPr>
      <w:r>
        <w:t>С каждым годом подход</w:t>
      </w:r>
      <w:r w:rsidR="006562AC">
        <w:t>ы</w:t>
      </w:r>
      <w:r>
        <w:t>, в которых электрический ток используется для преобразования органических молекул</w:t>
      </w:r>
      <w:r w:rsidR="006562AC">
        <w:t>, всё больше находят применение в органической химии</w:t>
      </w:r>
      <w:r>
        <w:t xml:space="preserve">. </w:t>
      </w:r>
      <w:proofErr w:type="spellStart"/>
      <w:r>
        <w:t>Электроорганический</w:t>
      </w:r>
      <w:proofErr w:type="spellEnd"/>
      <w:r>
        <w:t xml:space="preserve"> синтез </w:t>
      </w:r>
      <w:r w:rsidRPr="0068250B">
        <w:t>позволяет использовать потенциалы электродов вместо материальных окислителей или восстановителей, что снижает количество отходов. Однако, конструкционная вариативность и многофакторность системы делают создание селективных органических превращений в электрохимической ячейке нетривиальной и сложной научной задачей.</w:t>
      </w:r>
      <w:r>
        <w:t xml:space="preserve"> </w:t>
      </w:r>
    </w:p>
    <w:p w:rsidR="005032B3" w:rsidRDefault="005032B3" w:rsidP="003E0E16">
      <w:pPr>
        <w:ind w:firstLine="567"/>
        <w:jc w:val="both"/>
      </w:pPr>
      <w:r>
        <w:t xml:space="preserve">Разработан эффективный метод </w:t>
      </w:r>
      <w:proofErr w:type="spellStart"/>
      <w:r>
        <w:t>тиоцианирования</w:t>
      </w:r>
      <w:proofErr w:type="spellEnd"/>
      <w:r>
        <w:t xml:space="preserve"> производных барбитуровых кислот в условиях органического </w:t>
      </w:r>
      <w:r w:rsidRPr="0068250B">
        <w:t>электросинтеза в неразделенной электрохимической ячейке</w:t>
      </w:r>
      <w:r>
        <w:t xml:space="preserve"> [</w:t>
      </w:r>
      <w:r w:rsidRPr="00643216">
        <w:t>1</w:t>
      </w:r>
      <w:r>
        <w:t xml:space="preserve">]. </w:t>
      </w:r>
    </w:p>
    <w:p w:rsidR="005032B3" w:rsidRDefault="009958EE" w:rsidP="003E0E16">
      <w:pPr>
        <w:jc w:val="center"/>
      </w:pPr>
      <w:r w:rsidRPr="009E5F9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2.5pt;height:80.25pt;visibility:visible">
            <v:imagedata r:id="rId6" o:title=""/>
          </v:shape>
        </w:pict>
      </w:r>
      <w:r w:rsidR="000C4574">
        <w:rPr>
          <w:noProof/>
        </w:rPr>
        <w:pict>
          <v:rect id="Прямоугольник 1" o:spid="_x0000_s1027" style="position:absolute;left:0;text-align:left;margin-left:0;margin-top:0;width:50pt;height:50pt;z-index:25165772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<v:stroke joinstyle="round"/>
            <o:lock v:ext="edit" selection="t"/>
          </v:rect>
        </w:pict>
      </w:r>
    </w:p>
    <w:p w:rsidR="005032B3" w:rsidRDefault="005032B3" w:rsidP="003E0E16">
      <w:pPr>
        <w:ind w:firstLine="567"/>
        <w:jc w:val="both"/>
      </w:pPr>
      <w:r>
        <w:t>Процесс позволяет относительно быстро и с высокими выходами (до 95%) получать целевые соединения. Несмотря на высокую плотность тока (&gt; 50 мА/см</w:t>
      </w:r>
      <w:r>
        <w:rPr>
          <w:vertAlign w:val="superscript"/>
        </w:rPr>
        <w:t>2</w:t>
      </w:r>
      <w:r>
        <w:t xml:space="preserve">), в ходе реакции не </w:t>
      </w:r>
      <w:r w:rsidRPr="0068250B">
        <w:t>наблюдалось побочных</w:t>
      </w:r>
      <w:r>
        <w:t xml:space="preserve"> продуктов окисления и </w:t>
      </w:r>
      <w:proofErr w:type="spellStart"/>
      <w:r>
        <w:t>димеризации</w:t>
      </w:r>
      <w:proofErr w:type="spellEnd"/>
      <w:r>
        <w:t>.</w:t>
      </w:r>
    </w:p>
    <w:p w:rsidR="005032B3" w:rsidRPr="005032B3" w:rsidRDefault="005032B3" w:rsidP="003E0E16">
      <w:pPr>
        <w:ind w:firstLine="567"/>
        <w:jc w:val="both"/>
      </w:pPr>
      <w:r>
        <w:t xml:space="preserve">Исследования противогрибковой активности на культурах </w:t>
      </w:r>
      <w:proofErr w:type="spellStart"/>
      <w:r>
        <w:rPr>
          <w:i/>
          <w:iCs/>
        </w:rPr>
        <w:t>Alternaria</w:t>
      </w:r>
      <w:proofErr w:type="spellEnd"/>
      <w:r w:rsidRPr="00C712C2">
        <w:rPr>
          <w:i/>
          <w:iCs/>
        </w:rPr>
        <w:t xml:space="preserve"> </w:t>
      </w:r>
      <w:proofErr w:type="spellStart"/>
      <w:r>
        <w:rPr>
          <w:i/>
          <w:iCs/>
        </w:rPr>
        <w:t>solani</w:t>
      </w:r>
      <w:proofErr w:type="spellEnd"/>
      <w:r w:rsidRPr="00C712C2">
        <w:t xml:space="preserve">, </w:t>
      </w:r>
      <w:proofErr w:type="spellStart"/>
      <w:r>
        <w:rPr>
          <w:i/>
          <w:iCs/>
        </w:rPr>
        <w:t>Phytophthora</w:t>
      </w:r>
      <w:proofErr w:type="spellEnd"/>
      <w:r w:rsidRPr="00C712C2">
        <w:rPr>
          <w:i/>
          <w:iCs/>
        </w:rPr>
        <w:t xml:space="preserve"> </w:t>
      </w:r>
      <w:proofErr w:type="spellStart"/>
      <w:r>
        <w:rPr>
          <w:i/>
          <w:iCs/>
        </w:rPr>
        <w:t>infestans</w:t>
      </w:r>
      <w:proofErr w:type="spellEnd"/>
      <w:r w:rsidRPr="008D5FD6">
        <w:t xml:space="preserve"> </w:t>
      </w:r>
      <w:r>
        <w:t>и</w:t>
      </w:r>
      <w:r w:rsidRPr="00C712C2">
        <w:rPr>
          <w:i/>
          <w:iCs/>
        </w:rPr>
        <w:t xml:space="preserve"> </w:t>
      </w:r>
      <w:proofErr w:type="spellStart"/>
      <w:r>
        <w:rPr>
          <w:i/>
          <w:iCs/>
        </w:rPr>
        <w:t>Colletotrichum</w:t>
      </w:r>
      <w:proofErr w:type="spellEnd"/>
      <w:r w:rsidRPr="00C712C2">
        <w:rPr>
          <w:i/>
          <w:iCs/>
        </w:rPr>
        <w:t xml:space="preserve"> </w:t>
      </w:r>
      <w:proofErr w:type="spellStart"/>
      <w:r>
        <w:rPr>
          <w:i/>
          <w:iCs/>
        </w:rPr>
        <w:t>coccodes</w:t>
      </w:r>
      <w:proofErr w:type="spellEnd"/>
      <w:r>
        <w:t xml:space="preserve"> </w:t>
      </w:r>
      <w:r w:rsidRPr="0068250B">
        <w:t xml:space="preserve">показали, что на базе данного класса могут быть созданы новые </w:t>
      </w:r>
      <w:proofErr w:type="spellStart"/>
      <w:r w:rsidRPr="0068250B">
        <w:t>фунгицидные</w:t>
      </w:r>
      <w:proofErr w:type="spellEnd"/>
      <w:r w:rsidRPr="0068250B">
        <w:t xml:space="preserve"> соединения.</w:t>
      </w:r>
    </w:p>
    <w:p w:rsidR="005032B3" w:rsidRDefault="005032B3" w:rsidP="003E0E16">
      <w:pPr>
        <w:ind w:firstLine="567"/>
        <w:jc w:val="both"/>
      </w:pPr>
      <w:r>
        <w:t>Работа выполнена при поддержке гранта РНФ 21-73-10016.</w:t>
      </w:r>
    </w:p>
    <w:p w:rsidR="005032B3" w:rsidRDefault="005032B3" w:rsidP="003E0E16">
      <w:pPr>
        <w:jc w:val="center"/>
      </w:pPr>
      <w:r>
        <w:rPr>
          <w:b/>
          <w:bCs/>
          <w:iCs/>
        </w:rPr>
        <w:t>Литература</w:t>
      </w:r>
    </w:p>
    <w:p w:rsidR="00116478" w:rsidRPr="00116478" w:rsidRDefault="005032B3" w:rsidP="003E0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43216">
        <w:t xml:space="preserve">1. </w:t>
      </w:r>
      <w:proofErr w:type="spellStart"/>
      <w:r>
        <w:t>Bityukov</w:t>
      </w:r>
      <w:proofErr w:type="spellEnd"/>
      <w:r>
        <w:t xml:space="preserve">, O. V.; </w:t>
      </w:r>
      <w:proofErr w:type="spellStart"/>
      <w:r>
        <w:t>Kirillov</w:t>
      </w:r>
      <w:proofErr w:type="spellEnd"/>
      <w:r>
        <w:t xml:space="preserve">, A. S.; </w:t>
      </w:r>
      <w:proofErr w:type="spellStart"/>
      <w:r>
        <w:t>Serdyuchenko</w:t>
      </w:r>
      <w:proofErr w:type="spellEnd"/>
      <w:r>
        <w:t xml:space="preserve">, P. </w:t>
      </w:r>
      <w:proofErr w:type="spellStart"/>
      <w:r>
        <w:t>Yu</w:t>
      </w:r>
      <w:proofErr w:type="spellEnd"/>
      <w:r>
        <w:t xml:space="preserve">.; </w:t>
      </w:r>
      <w:proofErr w:type="spellStart"/>
      <w:r>
        <w:t>Kuznetsova</w:t>
      </w:r>
      <w:proofErr w:type="spellEnd"/>
      <w:r>
        <w:t xml:space="preserve">, M. A.; </w:t>
      </w:r>
      <w:proofErr w:type="spellStart"/>
      <w:r>
        <w:t>Demidova</w:t>
      </w:r>
      <w:proofErr w:type="spellEnd"/>
      <w:r>
        <w:t xml:space="preserve">, V. N.; </w:t>
      </w:r>
      <w:proofErr w:type="spellStart"/>
      <w:r>
        <w:t>Vil</w:t>
      </w:r>
      <w:proofErr w:type="spellEnd"/>
      <w:r>
        <w:t xml:space="preserve">’, V. A.; </w:t>
      </w:r>
      <w:proofErr w:type="spellStart"/>
      <w:r>
        <w:t>Terent'ev</w:t>
      </w:r>
      <w:proofErr w:type="spellEnd"/>
      <w:r>
        <w:t xml:space="preserve">, A. O. </w:t>
      </w:r>
      <w:proofErr w:type="spellStart"/>
      <w:r>
        <w:rPr>
          <w:i/>
          <w:iCs/>
        </w:rPr>
        <w:t>Org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Biomol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Chem</w:t>
      </w:r>
      <w:proofErr w:type="spellEnd"/>
      <w:r>
        <w:rPr>
          <w:i/>
          <w:iCs/>
        </w:rPr>
        <w:t>.</w:t>
      </w:r>
      <w:r>
        <w:t xml:space="preserve">, </w:t>
      </w:r>
      <w:r>
        <w:rPr>
          <w:b/>
          <w:bCs/>
        </w:rPr>
        <w:t>2022</w:t>
      </w:r>
      <w:r>
        <w:t>,20, 3629-3636.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63966"/>
    <w:rsid w:val="00086081"/>
    <w:rsid w:val="000C4574"/>
    <w:rsid w:val="00101A1C"/>
    <w:rsid w:val="00106375"/>
    <w:rsid w:val="00116478"/>
    <w:rsid w:val="00130241"/>
    <w:rsid w:val="001B0692"/>
    <w:rsid w:val="001E61C2"/>
    <w:rsid w:val="001F0493"/>
    <w:rsid w:val="002264EE"/>
    <w:rsid w:val="0023307C"/>
    <w:rsid w:val="0031361E"/>
    <w:rsid w:val="00391C38"/>
    <w:rsid w:val="003B76D6"/>
    <w:rsid w:val="003E0E16"/>
    <w:rsid w:val="004A26A3"/>
    <w:rsid w:val="004F0EDF"/>
    <w:rsid w:val="005032B3"/>
    <w:rsid w:val="00522BF1"/>
    <w:rsid w:val="00590166"/>
    <w:rsid w:val="006562AC"/>
    <w:rsid w:val="006F7A19"/>
    <w:rsid w:val="00775389"/>
    <w:rsid w:val="00797838"/>
    <w:rsid w:val="007C0E41"/>
    <w:rsid w:val="007C36D8"/>
    <w:rsid w:val="007F2744"/>
    <w:rsid w:val="007F30D4"/>
    <w:rsid w:val="008931BE"/>
    <w:rsid w:val="00921D45"/>
    <w:rsid w:val="009958EE"/>
    <w:rsid w:val="009A66DB"/>
    <w:rsid w:val="009B2F80"/>
    <w:rsid w:val="009B3300"/>
    <w:rsid w:val="009F3380"/>
    <w:rsid w:val="00A02163"/>
    <w:rsid w:val="00A314FE"/>
    <w:rsid w:val="00B55B6F"/>
    <w:rsid w:val="00BF36F8"/>
    <w:rsid w:val="00BF4622"/>
    <w:rsid w:val="00C01859"/>
    <w:rsid w:val="00CD00B1"/>
    <w:rsid w:val="00D22306"/>
    <w:rsid w:val="00D42542"/>
    <w:rsid w:val="00D52B29"/>
    <w:rsid w:val="00D66D41"/>
    <w:rsid w:val="00D8121C"/>
    <w:rsid w:val="00E22189"/>
    <w:rsid w:val="00E74069"/>
    <w:rsid w:val="00EB1F49"/>
    <w:rsid w:val="00F41F1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2DAC4F1-6024-4DC0-85A5-35E8D25D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bidi="en-US"/>
    </w:rPr>
  </w:style>
  <w:style w:type="character" w:styleId="Hyperlink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6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0A209D-800A-4E2A-AF50-602EE07E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4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2023-03-15T10:47:00Z</dcterms:created>
  <dcterms:modified xsi:type="dcterms:W3CDTF">2023-03-15T10:47:00Z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