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1038401" w:rsidR="00130241" w:rsidRPr="00E629DC" w:rsidRDefault="00644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DC">
        <w:rPr>
          <w:b/>
          <w:color w:val="000000"/>
        </w:rPr>
        <w:t xml:space="preserve">Хиральные </w:t>
      </w:r>
      <w:r w:rsidRPr="00E629DC">
        <w:rPr>
          <w:b/>
          <w:i/>
          <w:color w:val="000000"/>
        </w:rPr>
        <w:t>P,S</w:t>
      </w:r>
      <w:r w:rsidRPr="00E629DC">
        <w:rPr>
          <w:b/>
          <w:color w:val="000000"/>
        </w:rPr>
        <w:t>-</w:t>
      </w:r>
      <w:proofErr w:type="spellStart"/>
      <w:r w:rsidRPr="00E629DC">
        <w:rPr>
          <w:b/>
          <w:color w:val="000000"/>
        </w:rPr>
        <w:t>бидентатные</w:t>
      </w:r>
      <w:proofErr w:type="spellEnd"/>
      <w:r w:rsidRPr="00E629DC">
        <w:rPr>
          <w:b/>
          <w:color w:val="000000"/>
        </w:rPr>
        <w:t xml:space="preserve"> лиганды </w:t>
      </w:r>
      <w:proofErr w:type="spellStart"/>
      <w:r w:rsidRPr="00E629DC">
        <w:rPr>
          <w:b/>
          <w:color w:val="000000"/>
        </w:rPr>
        <w:t>фосфорамидитной</w:t>
      </w:r>
      <w:proofErr w:type="spellEnd"/>
      <w:r w:rsidRPr="00E629DC">
        <w:rPr>
          <w:b/>
          <w:color w:val="000000"/>
        </w:rPr>
        <w:t xml:space="preserve"> природы в </w:t>
      </w:r>
      <w:proofErr w:type="spellStart"/>
      <w:r w:rsidRPr="00E629DC">
        <w:rPr>
          <w:b/>
          <w:color w:val="000000"/>
        </w:rPr>
        <w:t>Pd</w:t>
      </w:r>
      <w:proofErr w:type="spellEnd"/>
      <w:r w:rsidRPr="00E629DC">
        <w:rPr>
          <w:b/>
          <w:color w:val="000000"/>
        </w:rPr>
        <w:t xml:space="preserve">-катализируемом </w:t>
      </w:r>
      <w:proofErr w:type="spellStart"/>
      <w:r w:rsidRPr="00E629DC">
        <w:rPr>
          <w:b/>
          <w:color w:val="000000"/>
        </w:rPr>
        <w:t>аллилироварии</w:t>
      </w:r>
      <w:proofErr w:type="spellEnd"/>
    </w:p>
    <w:p w14:paraId="00000002" w14:textId="24C2DE77" w:rsidR="00130241" w:rsidRPr="00E629DC" w:rsidRDefault="00644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E629DC">
        <w:rPr>
          <w:b/>
          <w:i/>
          <w:color w:val="000000"/>
        </w:rPr>
        <w:t>Зимарев</w:t>
      </w:r>
      <w:proofErr w:type="spellEnd"/>
      <w:r w:rsidRPr="00E629DC">
        <w:rPr>
          <w:b/>
          <w:i/>
          <w:color w:val="000000"/>
        </w:rPr>
        <w:t xml:space="preserve"> В.С.,</w:t>
      </w:r>
      <w:r w:rsidRPr="00E629DC">
        <w:rPr>
          <w:b/>
          <w:i/>
          <w:color w:val="000000"/>
          <w:vertAlign w:val="superscript"/>
        </w:rPr>
        <w:t>1,2</w:t>
      </w:r>
      <w:r w:rsidRPr="00E629DC">
        <w:rPr>
          <w:b/>
          <w:i/>
          <w:color w:val="000000"/>
        </w:rPr>
        <w:t xml:space="preserve"> Гулюкина Н.С.,</w:t>
      </w:r>
      <w:r w:rsidRPr="00E629DC">
        <w:rPr>
          <w:b/>
          <w:i/>
          <w:color w:val="000000"/>
          <w:vertAlign w:val="superscript"/>
        </w:rPr>
        <w:t>1,2</w:t>
      </w:r>
      <w:r w:rsidRPr="00E629DC">
        <w:rPr>
          <w:b/>
          <w:i/>
          <w:color w:val="000000"/>
        </w:rPr>
        <w:t xml:space="preserve"> </w:t>
      </w:r>
      <w:proofErr w:type="spellStart"/>
      <w:r w:rsidRPr="00E629DC">
        <w:rPr>
          <w:b/>
          <w:i/>
          <w:color w:val="000000"/>
        </w:rPr>
        <w:t>Фирсин</w:t>
      </w:r>
      <w:proofErr w:type="spellEnd"/>
      <w:r w:rsidRPr="00E629DC">
        <w:rPr>
          <w:b/>
          <w:i/>
          <w:color w:val="000000"/>
        </w:rPr>
        <w:t xml:space="preserve"> И.В.,</w:t>
      </w:r>
      <w:r w:rsidRPr="00E629DC">
        <w:rPr>
          <w:b/>
          <w:i/>
          <w:color w:val="000000"/>
          <w:vertAlign w:val="superscript"/>
        </w:rPr>
        <w:t>2</w:t>
      </w:r>
      <w:r w:rsidRPr="00E629DC">
        <w:rPr>
          <w:b/>
          <w:i/>
          <w:color w:val="000000"/>
        </w:rPr>
        <w:t xml:space="preserve"> </w:t>
      </w:r>
      <w:proofErr w:type="spellStart"/>
      <w:r w:rsidRPr="00E629DC">
        <w:rPr>
          <w:b/>
          <w:i/>
          <w:color w:val="000000"/>
        </w:rPr>
        <w:t>Трунина</w:t>
      </w:r>
      <w:proofErr w:type="spellEnd"/>
      <w:r w:rsidRPr="00E629DC">
        <w:rPr>
          <w:b/>
          <w:i/>
          <w:color w:val="000000"/>
        </w:rPr>
        <w:t xml:space="preserve"> В.М.</w:t>
      </w:r>
      <w:r w:rsidRPr="00E629DC">
        <w:rPr>
          <w:b/>
          <w:i/>
          <w:color w:val="000000"/>
          <w:vertAlign w:val="superscript"/>
        </w:rPr>
        <w:t>2</w:t>
      </w:r>
    </w:p>
    <w:p w14:paraId="00000003" w14:textId="72CDAAA7" w:rsidR="00130241" w:rsidRPr="00E629DC" w:rsidRDefault="00644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DC">
        <w:rPr>
          <w:i/>
          <w:color w:val="000000"/>
        </w:rPr>
        <w:t>Аспирант</w:t>
      </w:r>
      <w:r w:rsidR="00EB1F49" w:rsidRPr="00E629DC">
        <w:rPr>
          <w:i/>
          <w:color w:val="000000"/>
        </w:rPr>
        <w:t xml:space="preserve"> 4 </w:t>
      </w:r>
      <w:r w:rsidRPr="00E629DC">
        <w:rPr>
          <w:i/>
          <w:color w:val="000000"/>
        </w:rPr>
        <w:t>года обучения</w:t>
      </w:r>
    </w:p>
    <w:p w14:paraId="00000004" w14:textId="1FBD43D9" w:rsidR="00130241" w:rsidRPr="00E629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DC">
        <w:rPr>
          <w:i/>
          <w:color w:val="000000"/>
          <w:vertAlign w:val="superscript"/>
        </w:rPr>
        <w:t>1</w:t>
      </w:r>
      <w:r w:rsidRPr="00E629DC">
        <w:rPr>
          <w:i/>
          <w:color w:val="000000"/>
        </w:rPr>
        <w:t>Московский государственный университет имени М.В.</w:t>
      </w:r>
      <w:r w:rsidR="00921D45" w:rsidRPr="00E629DC">
        <w:rPr>
          <w:i/>
          <w:color w:val="000000"/>
        </w:rPr>
        <w:t xml:space="preserve"> </w:t>
      </w:r>
      <w:r w:rsidRPr="00E629DC">
        <w:rPr>
          <w:i/>
          <w:color w:val="000000"/>
        </w:rPr>
        <w:t>Ломоносова, </w:t>
      </w:r>
    </w:p>
    <w:p w14:paraId="00000005" w14:textId="1A249D70" w:rsidR="00130241" w:rsidRPr="00E629DC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DC">
        <w:rPr>
          <w:i/>
          <w:color w:val="000000"/>
        </w:rPr>
        <w:t>химический</w:t>
      </w:r>
      <w:r w:rsidR="00EB1F49" w:rsidRPr="00E629DC">
        <w:rPr>
          <w:i/>
          <w:color w:val="000000"/>
        </w:rPr>
        <w:t xml:space="preserve"> факультет, Москва, Россия</w:t>
      </w:r>
    </w:p>
    <w:p w14:paraId="6F38405F" w14:textId="1A668026" w:rsidR="0064486E" w:rsidRPr="00E629DC" w:rsidRDefault="00EB1F49" w:rsidP="00644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DC">
        <w:rPr>
          <w:i/>
          <w:color w:val="000000"/>
          <w:vertAlign w:val="superscript"/>
        </w:rPr>
        <w:t>2</w:t>
      </w:r>
      <w:r w:rsidR="0064486E" w:rsidRPr="00E629DC">
        <w:rPr>
          <w:i/>
          <w:color w:val="000000"/>
        </w:rPr>
        <w:t>Рязанский государственный университет имени С.А. Есенина, Рязань</w:t>
      </w:r>
      <w:r w:rsidR="00BF36F8" w:rsidRPr="00E629DC">
        <w:rPr>
          <w:i/>
          <w:color w:val="000000"/>
        </w:rPr>
        <w:t>, Россия</w:t>
      </w:r>
    </w:p>
    <w:p w14:paraId="1ADA4293" w14:textId="6CBE3C9A" w:rsidR="00CD00B1" w:rsidRPr="00E629DC" w:rsidRDefault="00EB1F49" w:rsidP="00644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DC">
        <w:rPr>
          <w:i/>
          <w:color w:val="000000"/>
        </w:rPr>
        <w:t>E</w:t>
      </w:r>
      <w:r w:rsidR="003B76D6" w:rsidRPr="00E629DC">
        <w:rPr>
          <w:i/>
          <w:color w:val="000000"/>
        </w:rPr>
        <w:t>-</w:t>
      </w:r>
      <w:proofErr w:type="spellStart"/>
      <w:r w:rsidR="0064486E" w:rsidRPr="00E629DC">
        <w:rPr>
          <w:i/>
          <w:color w:val="000000"/>
        </w:rPr>
        <w:t>mail</w:t>
      </w:r>
      <w:proofErr w:type="spellEnd"/>
      <w:r w:rsidR="0064486E" w:rsidRPr="00E629DC">
        <w:rPr>
          <w:i/>
          <w:color w:val="000000"/>
        </w:rPr>
        <w:t xml:space="preserve">: </w:t>
      </w:r>
      <w:hyperlink r:id="rId7">
        <w:r w:rsidR="0064486E" w:rsidRPr="00E629DC">
          <w:rPr>
            <w:i/>
            <w:color w:val="000000"/>
            <w:u w:val="single"/>
            <w:lang w:val="en-US"/>
          </w:rPr>
          <w:t>zimarjovvladislav</w:t>
        </w:r>
        <w:r w:rsidR="0064486E" w:rsidRPr="00E629DC">
          <w:rPr>
            <w:i/>
            <w:color w:val="000000"/>
            <w:u w:val="single"/>
          </w:rPr>
          <w:t>@</w:t>
        </w:r>
        <w:r w:rsidR="0064486E" w:rsidRPr="00E629DC">
          <w:rPr>
            <w:i/>
            <w:color w:val="000000"/>
            <w:u w:val="single"/>
            <w:lang w:val="en-US"/>
          </w:rPr>
          <w:t>gmail</w:t>
        </w:r>
        <w:r w:rsidR="0064486E" w:rsidRPr="00E629DC">
          <w:rPr>
            <w:i/>
            <w:color w:val="000000"/>
            <w:u w:val="single"/>
          </w:rPr>
          <w:t>.</w:t>
        </w:r>
        <w:r w:rsidR="0064486E" w:rsidRPr="00E629DC">
          <w:rPr>
            <w:i/>
            <w:color w:val="000000"/>
            <w:u w:val="single"/>
            <w:lang w:val="en-US"/>
          </w:rPr>
          <w:t>com</w:t>
        </w:r>
      </w:hyperlink>
    </w:p>
    <w:p w14:paraId="54A72E0D" w14:textId="3980F580" w:rsidR="0064486E" w:rsidRPr="00E629DC" w:rsidRDefault="0064486E" w:rsidP="009854EE">
      <w:pPr>
        <w:ind w:firstLine="397"/>
        <w:jc w:val="both"/>
        <w:rPr>
          <w:rFonts w:eastAsia="Calibri"/>
          <w:lang w:eastAsia="en-US"/>
        </w:rPr>
      </w:pPr>
      <w:r w:rsidRPr="00E629DC">
        <w:rPr>
          <w:rFonts w:eastAsia="Calibri"/>
          <w:lang w:eastAsia="en-US"/>
        </w:rPr>
        <w:t xml:space="preserve">Среди </w:t>
      </w:r>
      <w:r w:rsidRPr="00E629DC">
        <w:rPr>
          <w:rFonts w:eastAsia="Calibri"/>
          <w:i/>
          <w:lang w:val="en-US" w:eastAsia="en-US"/>
        </w:rPr>
        <w:t>P</w:t>
      </w:r>
      <w:r w:rsidRPr="00E629DC">
        <w:rPr>
          <w:rFonts w:eastAsia="Calibri"/>
          <w:i/>
          <w:lang w:eastAsia="en-US"/>
        </w:rPr>
        <w:t>,</w:t>
      </w:r>
      <w:r w:rsidRPr="00E629DC">
        <w:rPr>
          <w:rFonts w:eastAsia="Calibri"/>
          <w:i/>
          <w:lang w:val="en-US" w:eastAsia="en-US"/>
        </w:rPr>
        <w:t>S</w:t>
      </w:r>
      <w:r w:rsidRPr="00E629DC">
        <w:rPr>
          <w:rFonts w:eastAsia="Calibri"/>
          <w:lang w:eastAsia="en-US"/>
        </w:rPr>
        <w:t>-</w:t>
      </w:r>
      <w:proofErr w:type="spellStart"/>
      <w:r w:rsidRPr="00E629DC">
        <w:rPr>
          <w:rFonts w:eastAsia="Calibri"/>
          <w:lang w:eastAsia="en-US"/>
        </w:rPr>
        <w:t>бидентатных</w:t>
      </w:r>
      <w:proofErr w:type="spellEnd"/>
      <w:r w:rsidRPr="00E629DC">
        <w:rPr>
          <w:rFonts w:eastAsia="Calibri"/>
          <w:lang w:eastAsia="en-US"/>
        </w:rPr>
        <w:t xml:space="preserve"> лигандов для асимметрического синтеза наименее изученными являются  </w:t>
      </w:r>
      <w:proofErr w:type="spellStart"/>
      <w:r w:rsidRPr="00E629DC">
        <w:rPr>
          <w:rFonts w:eastAsia="Calibri"/>
          <w:lang w:eastAsia="en-US"/>
        </w:rPr>
        <w:t>фосфорамидит-тиоэфиры</w:t>
      </w:r>
      <w:proofErr w:type="spellEnd"/>
      <w:r w:rsidRPr="00E629DC">
        <w:rPr>
          <w:rFonts w:eastAsia="Calibri"/>
          <w:lang w:eastAsia="en-US"/>
        </w:rPr>
        <w:t>. На основе доступных (</w:t>
      </w:r>
      <w:r w:rsidRPr="00E629DC">
        <w:rPr>
          <w:rFonts w:eastAsia="Calibri"/>
          <w:i/>
          <w:lang w:val="en-US" w:eastAsia="en-US"/>
        </w:rPr>
        <w:t>R</w:t>
      </w:r>
      <w:r w:rsidRPr="00E629DC">
        <w:rPr>
          <w:rFonts w:eastAsia="Calibri"/>
          <w:lang w:eastAsia="en-US"/>
        </w:rPr>
        <w:t>)-</w:t>
      </w:r>
      <w:r w:rsidRPr="00E629DC">
        <w:rPr>
          <w:rFonts w:eastAsia="Calibri"/>
          <w:lang w:val="en-US" w:eastAsia="en-US"/>
        </w:rPr>
        <w:t>BIPHEN</w:t>
      </w:r>
      <w:r w:rsidRPr="00E629DC">
        <w:rPr>
          <w:rFonts w:eastAsia="Calibri"/>
          <w:lang w:eastAsia="en-US"/>
        </w:rPr>
        <w:t xml:space="preserve"> </w:t>
      </w:r>
      <w:r w:rsidRPr="00E629DC">
        <w:rPr>
          <w:rFonts w:eastAsia="Calibri"/>
          <w:lang w:val="en-US" w:eastAsia="en-US"/>
        </w:rPr>
        <w:t>H</w:t>
      </w:r>
      <w:r w:rsidRPr="00E629DC">
        <w:rPr>
          <w:rFonts w:eastAsia="Calibri"/>
          <w:lang w:eastAsia="en-US"/>
        </w:rPr>
        <w:t>2, (</w:t>
      </w:r>
      <w:r w:rsidRPr="00E629DC">
        <w:rPr>
          <w:rFonts w:eastAsia="Calibri"/>
          <w:i/>
          <w:lang w:val="en-US" w:eastAsia="en-US"/>
        </w:rPr>
        <w:t>R</w:t>
      </w:r>
      <w:r w:rsidRPr="00E629DC">
        <w:rPr>
          <w:rFonts w:eastAsia="Calibri"/>
          <w:lang w:eastAsia="en-US"/>
        </w:rPr>
        <w:t>)-</w:t>
      </w:r>
      <w:r w:rsidRPr="00E629DC">
        <w:rPr>
          <w:rFonts w:eastAsia="Calibri"/>
          <w:lang w:val="en-US" w:eastAsia="en-US"/>
        </w:rPr>
        <w:t>BINOL</w:t>
      </w:r>
      <w:r w:rsidRPr="00E629DC">
        <w:rPr>
          <w:rFonts w:eastAsia="Calibri"/>
          <w:lang w:eastAsia="en-US"/>
        </w:rPr>
        <w:t xml:space="preserve"> и его производных и (</w:t>
      </w:r>
      <w:r w:rsidRPr="00E629DC">
        <w:rPr>
          <w:rFonts w:eastAsia="Calibri"/>
          <w:i/>
          <w:lang w:val="en-US" w:eastAsia="en-US"/>
        </w:rPr>
        <w:t>R</w:t>
      </w:r>
      <w:r w:rsidRPr="00E629DC">
        <w:rPr>
          <w:rFonts w:eastAsia="Calibri"/>
          <w:i/>
          <w:lang w:eastAsia="en-US"/>
        </w:rPr>
        <w:t>,</w:t>
      </w:r>
      <w:r w:rsidRPr="00E629DC">
        <w:rPr>
          <w:rFonts w:eastAsia="Calibri"/>
          <w:i/>
          <w:lang w:val="en-US" w:eastAsia="en-US"/>
        </w:rPr>
        <w:t>R</w:t>
      </w:r>
      <w:r w:rsidRPr="00E629DC">
        <w:rPr>
          <w:rFonts w:eastAsia="Calibri"/>
          <w:lang w:eastAsia="en-US"/>
        </w:rPr>
        <w:t>)-</w:t>
      </w:r>
      <w:r w:rsidRPr="00E629DC">
        <w:rPr>
          <w:rFonts w:eastAsia="Calibri"/>
          <w:lang w:val="en-US" w:eastAsia="en-US"/>
        </w:rPr>
        <w:t>TADDOL</w:t>
      </w:r>
      <w:r w:rsidRPr="00E629DC">
        <w:rPr>
          <w:rFonts w:eastAsia="Calibri"/>
          <w:lang w:eastAsia="en-US"/>
        </w:rPr>
        <w:t xml:space="preserve"> нами получены </w:t>
      </w:r>
      <w:r w:rsidRPr="00E629DC">
        <w:rPr>
          <w:rFonts w:eastAsia="Calibri"/>
          <w:i/>
          <w:lang w:val="en-US" w:eastAsia="en-US"/>
        </w:rPr>
        <w:t>P</w:t>
      </w:r>
      <w:r w:rsidRPr="00E629DC">
        <w:rPr>
          <w:rFonts w:eastAsia="Calibri"/>
          <w:i/>
          <w:lang w:eastAsia="en-US"/>
        </w:rPr>
        <w:t>,</w:t>
      </w:r>
      <w:r w:rsidRPr="00E629DC">
        <w:rPr>
          <w:rFonts w:eastAsia="Calibri"/>
          <w:i/>
          <w:lang w:val="en-US" w:eastAsia="en-US"/>
        </w:rPr>
        <w:t>S</w:t>
      </w:r>
      <w:r w:rsidRPr="00E629DC">
        <w:rPr>
          <w:rFonts w:eastAsia="Calibri"/>
          <w:lang w:eastAsia="en-US"/>
        </w:rPr>
        <w:t>-</w:t>
      </w:r>
      <w:proofErr w:type="spellStart"/>
      <w:r w:rsidRPr="00E629DC">
        <w:rPr>
          <w:rFonts w:eastAsia="Calibri"/>
          <w:lang w:eastAsia="en-US"/>
        </w:rPr>
        <w:t>бидентатные</w:t>
      </w:r>
      <w:proofErr w:type="spellEnd"/>
      <w:r w:rsidRPr="00E629DC">
        <w:rPr>
          <w:rFonts w:eastAsia="Calibri"/>
          <w:lang w:eastAsia="en-US"/>
        </w:rPr>
        <w:t xml:space="preserve"> лиганды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b/>
          <w:lang w:eastAsia="en-US"/>
        </w:rPr>
        <w:t>1-5</w:t>
      </w:r>
      <w:r w:rsidR="005729AA">
        <w:rPr>
          <w:rFonts w:eastAsia="Calibri"/>
          <w:lang w:eastAsia="en-US"/>
        </w:rPr>
        <w:t xml:space="preserve"> [1</w:t>
      </w:r>
      <w:r w:rsidR="00945581" w:rsidRPr="00E629DC">
        <w:rPr>
          <w:rFonts w:eastAsia="Calibri"/>
          <w:lang w:eastAsia="en-US"/>
        </w:rPr>
        <w:t>]</w:t>
      </w:r>
      <w:r w:rsidRPr="00E629DC">
        <w:rPr>
          <w:rFonts w:eastAsia="Calibri"/>
          <w:lang w:eastAsia="en-US"/>
        </w:rPr>
        <w:t xml:space="preserve">. Для изучения роли </w:t>
      </w:r>
      <w:r w:rsidRPr="00E629DC">
        <w:rPr>
          <w:rFonts w:eastAsia="Calibri"/>
          <w:lang w:val="en-US" w:eastAsia="en-US"/>
        </w:rPr>
        <w:t>S</w:t>
      </w:r>
      <w:r w:rsidRPr="00E629DC">
        <w:rPr>
          <w:rFonts w:eastAsia="Calibri"/>
          <w:lang w:eastAsia="en-US"/>
        </w:rPr>
        <w:t xml:space="preserve">-донорного центра также синтезированы </w:t>
      </w:r>
      <w:r w:rsidRPr="00E629DC">
        <w:rPr>
          <w:rFonts w:eastAsia="Calibri"/>
          <w:i/>
          <w:lang w:val="en-US" w:eastAsia="en-US"/>
        </w:rPr>
        <w:t>P</w:t>
      </w:r>
      <w:r w:rsidRPr="00E629DC">
        <w:rPr>
          <w:rFonts w:eastAsia="Calibri"/>
          <w:i/>
          <w:lang w:eastAsia="en-US"/>
        </w:rPr>
        <w:t>,</w:t>
      </w:r>
      <w:r w:rsidRPr="00E629DC">
        <w:rPr>
          <w:rFonts w:eastAsia="Calibri"/>
          <w:i/>
          <w:lang w:val="en-US" w:eastAsia="en-US"/>
        </w:rPr>
        <w:t>N</w:t>
      </w:r>
      <w:r w:rsidRPr="00E629DC">
        <w:rPr>
          <w:rFonts w:eastAsia="Calibri"/>
          <w:lang w:eastAsia="en-US"/>
        </w:rPr>
        <w:t>-</w:t>
      </w:r>
      <w:proofErr w:type="spellStart"/>
      <w:r w:rsidRPr="00E629DC">
        <w:rPr>
          <w:rFonts w:eastAsia="Calibri"/>
          <w:lang w:eastAsia="en-US"/>
        </w:rPr>
        <w:t>бидентатный</w:t>
      </w:r>
      <w:proofErr w:type="spellEnd"/>
      <w:r w:rsidRPr="00E629DC">
        <w:rPr>
          <w:rFonts w:eastAsia="Calibri"/>
          <w:lang w:eastAsia="en-US"/>
        </w:rPr>
        <w:t xml:space="preserve"> и </w:t>
      </w:r>
      <w:proofErr w:type="spellStart"/>
      <w:r w:rsidRPr="00E629DC">
        <w:rPr>
          <w:rFonts w:eastAsia="Calibri"/>
          <w:lang w:eastAsia="en-US"/>
        </w:rPr>
        <w:t>монодентатный</w:t>
      </w:r>
      <w:proofErr w:type="spellEnd"/>
      <w:r w:rsidRPr="00E629DC">
        <w:rPr>
          <w:rFonts w:eastAsia="Calibri"/>
          <w:lang w:eastAsia="en-US"/>
        </w:rPr>
        <w:t xml:space="preserve"> лиганды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b/>
          <w:lang w:eastAsia="en-US"/>
        </w:rPr>
        <w:t>6</w:t>
      </w:r>
      <w:r w:rsidRPr="00E629DC">
        <w:rPr>
          <w:rFonts w:eastAsia="Calibri"/>
          <w:lang w:eastAsia="en-US"/>
        </w:rPr>
        <w:t xml:space="preserve"> и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b/>
          <w:lang w:eastAsia="en-US"/>
        </w:rPr>
        <w:t>7</w:t>
      </w:r>
      <w:r w:rsidRPr="00E629DC">
        <w:rPr>
          <w:rFonts w:eastAsia="Calibri"/>
          <w:lang w:eastAsia="en-US"/>
        </w:rPr>
        <w:t>.</w:t>
      </w:r>
    </w:p>
    <w:p w14:paraId="2C9E94C5" w14:textId="47E7C862" w:rsidR="0064486E" w:rsidRPr="00E629DC" w:rsidRDefault="005729AA" w:rsidP="0064486E">
      <w:p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21FF3244" wp14:editId="0C7BFEDF">
            <wp:extent cx="4838700" cy="145624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770" cy="146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208F" w14:textId="42127B7F" w:rsidR="0064486E" w:rsidRPr="00E629DC" w:rsidRDefault="0064486E" w:rsidP="009854EE">
      <w:pPr>
        <w:ind w:firstLine="397"/>
        <w:jc w:val="both"/>
        <w:rPr>
          <w:rFonts w:eastAsia="Calibri"/>
          <w:lang w:eastAsia="en-US"/>
        </w:rPr>
      </w:pPr>
      <w:r w:rsidRPr="00E629DC">
        <w:rPr>
          <w:rFonts w:eastAsia="Calibri"/>
          <w:lang w:eastAsia="en-US"/>
        </w:rPr>
        <w:t xml:space="preserve">Лиганды </w:t>
      </w:r>
      <w:r w:rsidRPr="00E629DC">
        <w:rPr>
          <w:rFonts w:eastAsia="Calibri"/>
          <w:b/>
          <w:lang w:eastAsia="en-US"/>
        </w:rPr>
        <w:t>L1-7</w:t>
      </w:r>
      <w:r w:rsidRPr="00E629DC">
        <w:rPr>
          <w:rFonts w:eastAsia="Calibri"/>
          <w:lang w:eastAsia="en-US"/>
        </w:rPr>
        <w:t xml:space="preserve"> были протестированы в </w:t>
      </w:r>
      <w:r w:rsidR="00D50142">
        <w:rPr>
          <w:rFonts w:eastAsia="Calibri"/>
          <w:lang w:eastAsia="en-US"/>
        </w:rPr>
        <w:t>следующих</w:t>
      </w:r>
      <w:r w:rsidRPr="00E629DC">
        <w:rPr>
          <w:rFonts w:eastAsia="Calibri"/>
          <w:lang w:eastAsia="en-US"/>
        </w:rPr>
        <w:t xml:space="preserve"> реакциях</w:t>
      </w:r>
      <w:r w:rsidR="00D50142">
        <w:rPr>
          <w:rFonts w:eastAsia="Calibri"/>
          <w:lang w:eastAsia="en-US"/>
        </w:rPr>
        <w:t>:</w:t>
      </w:r>
    </w:p>
    <w:p w14:paraId="4AF3E35E" w14:textId="499E3CBE" w:rsidR="0064486E" w:rsidRPr="00E629DC" w:rsidRDefault="00E629DC" w:rsidP="0064486E">
      <w:pPr>
        <w:jc w:val="center"/>
        <w:rPr>
          <w:rFonts w:eastAsia="Calibri"/>
          <w:lang w:eastAsia="en-US"/>
        </w:rPr>
      </w:pPr>
      <w:r w:rsidRPr="00E629DC">
        <w:rPr>
          <w:rFonts w:eastAsia="Calibri"/>
          <w:noProof/>
        </w:rPr>
        <w:drawing>
          <wp:inline distT="0" distB="0" distL="0" distR="0" wp14:anchorId="568D16C5" wp14:editId="2347D7E7">
            <wp:extent cx="4533900" cy="68225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818" cy="70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69B0" w14:textId="77777777" w:rsidR="0064486E" w:rsidRPr="00E629DC" w:rsidRDefault="0064486E" w:rsidP="0064486E">
      <w:pPr>
        <w:jc w:val="center"/>
        <w:rPr>
          <w:rFonts w:eastAsia="Calibri"/>
          <w:lang w:eastAsia="en-US"/>
        </w:rPr>
        <w:sectPr w:rsidR="0064486E" w:rsidRPr="00E629DC" w:rsidSect="00E629DC"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  <w:bookmarkStart w:id="0" w:name="_GoBack"/>
      <w:bookmarkEnd w:id="0"/>
    </w:p>
    <w:p w14:paraId="42336E57" w14:textId="77777777" w:rsidR="009854EE" w:rsidRPr="00E629DC" w:rsidRDefault="009854EE" w:rsidP="009854EE">
      <w:pPr>
        <w:jc w:val="both"/>
        <w:rPr>
          <w:rFonts w:eastAsia="Calibri"/>
          <w:lang w:eastAsia="en-US"/>
        </w:rPr>
      </w:pPr>
      <w:r w:rsidRPr="00E629DC">
        <w:rPr>
          <w:rFonts w:eastAsia="Calibri"/>
          <w:lang w:eastAsia="en-US"/>
        </w:rPr>
        <w:lastRenderedPageBreak/>
        <w:t xml:space="preserve">Максимальные значения </w:t>
      </w:r>
      <w:r w:rsidRPr="00E629DC">
        <w:rPr>
          <w:rFonts w:eastAsia="Calibri"/>
          <w:i/>
          <w:lang w:eastAsia="en-US"/>
        </w:rPr>
        <w:t>ее</w:t>
      </w:r>
      <w:r w:rsidRPr="00E629DC">
        <w:rPr>
          <w:rFonts w:eastAsia="Calibri"/>
          <w:lang w:eastAsia="en-US"/>
        </w:rPr>
        <w:t xml:space="preserve"> в каталитических опытах:</w:t>
      </w:r>
    </w:p>
    <w:tbl>
      <w:tblPr>
        <w:tblStyle w:val="10"/>
        <w:tblW w:w="2802" w:type="dxa"/>
        <w:tblLook w:val="04A0" w:firstRow="1" w:lastRow="0" w:firstColumn="1" w:lastColumn="0" w:noHBand="0" w:noVBand="1"/>
      </w:tblPr>
      <w:tblGrid>
        <w:gridCol w:w="497"/>
        <w:gridCol w:w="1189"/>
        <w:gridCol w:w="1116"/>
      </w:tblGrid>
      <w:tr w:rsidR="009854EE" w:rsidRPr="00E629DC" w14:paraId="430E680B" w14:textId="77777777" w:rsidTr="00C914A0">
        <w:tc>
          <w:tcPr>
            <w:tcW w:w="0" w:type="auto"/>
          </w:tcPr>
          <w:p w14:paraId="4A1CEA27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</w:p>
        </w:tc>
        <w:tc>
          <w:tcPr>
            <w:tcW w:w="1211" w:type="dxa"/>
          </w:tcPr>
          <w:p w14:paraId="524FBF3F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i/>
              </w:rPr>
              <w:t>Ее</w:t>
            </w:r>
            <w:r w:rsidRPr="00E629DC">
              <w:rPr>
                <w:rFonts w:eastAsia="Calibri"/>
              </w:rPr>
              <w:t>(%)</w:t>
            </w:r>
            <w:r w:rsidRPr="00E629DC">
              <w:rPr>
                <w:rFonts w:eastAsia="Calibri"/>
                <w:lang w:val="en-US"/>
              </w:rPr>
              <w:t xml:space="preserve"> </w:t>
            </w:r>
            <w:r w:rsidRPr="00E629DC">
              <w:rPr>
                <w:rFonts w:eastAsia="Calibri"/>
                <w:b/>
              </w:rPr>
              <w:t>1</w:t>
            </w:r>
          </w:p>
        </w:tc>
        <w:tc>
          <w:tcPr>
            <w:tcW w:w="1134" w:type="dxa"/>
          </w:tcPr>
          <w:p w14:paraId="5868AF00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i/>
              </w:rPr>
              <w:t>Ее</w:t>
            </w:r>
            <w:r w:rsidRPr="00E629DC">
              <w:rPr>
                <w:rFonts w:eastAsia="Calibri"/>
              </w:rPr>
              <w:t>(%)</w:t>
            </w:r>
            <w:r w:rsidRPr="00E629DC">
              <w:rPr>
                <w:rFonts w:eastAsia="Calibri"/>
                <w:lang w:val="en-US"/>
              </w:rPr>
              <w:t xml:space="preserve"> </w:t>
            </w:r>
            <w:r w:rsidRPr="00E629DC">
              <w:rPr>
                <w:rFonts w:eastAsia="Calibri"/>
                <w:b/>
              </w:rPr>
              <w:t>2</w:t>
            </w:r>
          </w:p>
        </w:tc>
      </w:tr>
      <w:tr w:rsidR="009854EE" w:rsidRPr="00E629DC" w14:paraId="330FD39C" w14:textId="77777777" w:rsidTr="00C914A0">
        <w:tc>
          <w:tcPr>
            <w:tcW w:w="0" w:type="auto"/>
          </w:tcPr>
          <w:p w14:paraId="1ABA4E0F" w14:textId="77777777" w:rsidR="009854EE" w:rsidRPr="00E629DC" w:rsidRDefault="009854EE" w:rsidP="009854EE">
            <w:pPr>
              <w:jc w:val="both"/>
              <w:rPr>
                <w:rFonts w:eastAsia="Calibri"/>
                <w:b/>
                <w:lang w:val="en-US"/>
              </w:rPr>
            </w:pPr>
            <w:r w:rsidRPr="00E629DC">
              <w:rPr>
                <w:rFonts w:eastAsia="Calibri"/>
                <w:b/>
                <w:lang w:val="en-US"/>
              </w:rPr>
              <w:t>L1</w:t>
            </w:r>
          </w:p>
        </w:tc>
        <w:tc>
          <w:tcPr>
            <w:tcW w:w="1211" w:type="dxa"/>
          </w:tcPr>
          <w:p w14:paraId="785143AD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86 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  <w:tc>
          <w:tcPr>
            <w:tcW w:w="1134" w:type="dxa"/>
          </w:tcPr>
          <w:p w14:paraId="609E46D2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78 (</w:t>
            </w:r>
            <w:r w:rsidRPr="00E629DC">
              <w:rPr>
                <w:rFonts w:eastAsia="Calibri"/>
                <w:i/>
              </w:rPr>
              <w:t>S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</w:tr>
      <w:tr w:rsidR="009854EE" w:rsidRPr="00E629DC" w14:paraId="0E783815" w14:textId="77777777" w:rsidTr="00C914A0">
        <w:trPr>
          <w:trHeight w:val="204"/>
        </w:trPr>
        <w:tc>
          <w:tcPr>
            <w:tcW w:w="0" w:type="auto"/>
            <w:vMerge w:val="restart"/>
          </w:tcPr>
          <w:p w14:paraId="0135E20A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b/>
                <w:lang w:val="en-US"/>
              </w:rPr>
              <w:t>L2</w:t>
            </w:r>
          </w:p>
        </w:tc>
        <w:tc>
          <w:tcPr>
            <w:tcW w:w="1211" w:type="dxa"/>
          </w:tcPr>
          <w:p w14:paraId="0B2D4F5C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75 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  <w:tc>
          <w:tcPr>
            <w:tcW w:w="1134" w:type="dxa"/>
            <w:vMerge w:val="restart"/>
          </w:tcPr>
          <w:p w14:paraId="644A38F7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17 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б</w:t>
            </w:r>
          </w:p>
        </w:tc>
      </w:tr>
      <w:tr w:rsidR="009854EE" w:rsidRPr="00E629DC" w14:paraId="18F81FDC" w14:textId="77777777" w:rsidTr="00C914A0">
        <w:trPr>
          <w:trHeight w:val="75"/>
        </w:trPr>
        <w:tc>
          <w:tcPr>
            <w:tcW w:w="0" w:type="auto"/>
            <w:vMerge/>
          </w:tcPr>
          <w:p w14:paraId="350C3F6B" w14:textId="77777777" w:rsidR="009854EE" w:rsidRPr="00E629DC" w:rsidRDefault="009854EE" w:rsidP="009854EE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1211" w:type="dxa"/>
          </w:tcPr>
          <w:p w14:paraId="31E9B1C8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lang w:val="en-US"/>
              </w:rPr>
              <w:t>56</w:t>
            </w:r>
            <w:r w:rsidRPr="00E629DC">
              <w:rPr>
                <w:rFonts w:eastAsia="Calibri"/>
              </w:rPr>
              <w:t xml:space="preserve"> (</w:t>
            </w:r>
            <w:r w:rsidRPr="00E629DC">
              <w:rPr>
                <w:rFonts w:eastAsia="Calibri"/>
                <w:i/>
              </w:rPr>
              <w:t>S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б</w:t>
            </w:r>
          </w:p>
        </w:tc>
        <w:tc>
          <w:tcPr>
            <w:tcW w:w="1134" w:type="dxa"/>
            <w:vMerge/>
          </w:tcPr>
          <w:p w14:paraId="6D560B30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</w:p>
        </w:tc>
      </w:tr>
      <w:tr w:rsidR="009854EE" w:rsidRPr="00E629DC" w14:paraId="5B95F523" w14:textId="77777777" w:rsidTr="00C914A0">
        <w:trPr>
          <w:trHeight w:val="180"/>
        </w:trPr>
        <w:tc>
          <w:tcPr>
            <w:tcW w:w="0" w:type="auto"/>
            <w:vMerge w:val="restart"/>
          </w:tcPr>
          <w:p w14:paraId="01EAF24C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b/>
                <w:lang w:val="en-US"/>
              </w:rPr>
              <w:t>L3</w:t>
            </w:r>
          </w:p>
        </w:tc>
        <w:tc>
          <w:tcPr>
            <w:tcW w:w="1211" w:type="dxa"/>
          </w:tcPr>
          <w:p w14:paraId="2D5E0A01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70 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  <w:tc>
          <w:tcPr>
            <w:tcW w:w="1134" w:type="dxa"/>
            <w:vMerge w:val="restart"/>
          </w:tcPr>
          <w:p w14:paraId="0BB28B48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16 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б</w:t>
            </w:r>
          </w:p>
        </w:tc>
      </w:tr>
      <w:tr w:rsidR="009854EE" w:rsidRPr="00E629DC" w14:paraId="3CD89C0E" w14:textId="77777777" w:rsidTr="00C914A0">
        <w:trPr>
          <w:trHeight w:val="90"/>
        </w:trPr>
        <w:tc>
          <w:tcPr>
            <w:tcW w:w="0" w:type="auto"/>
            <w:vMerge/>
          </w:tcPr>
          <w:p w14:paraId="22EA3175" w14:textId="77777777" w:rsidR="009854EE" w:rsidRPr="00E629DC" w:rsidRDefault="009854EE" w:rsidP="009854EE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1211" w:type="dxa"/>
          </w:tcPr>
          <w:p w14:paraId="0D782502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57 (</w:t>
            </w:r>
            <w:r w:rsidRPr="00E629DC">
              <w:rPr>
                <w:rFonts w:eastAsia="Calibri"/>
                <w:i/>
              </w:rPr>
              <w:t>S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б</w:t>
            </w:r>
          </w:p>
        </w:tc>
        <w:tc>
          <w:tcPr>
            <w:tcW w:w="1134" w:type="dxa"/>
            <w:vMerge/>
          </w:tcPr>
          <w:p w14:paraId="5530667D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</w:p>
        </w:tc>
      </w:tr>
      <w:tr w:rsidR="009854EE" w:rsidRPr="00E629DC" w14:paraId="028F9287" w14:textId="77777777" w:rsidTr="00C914A0">
        <w:tc>
          <w:tcPr>
            <w:tcW w:w="0" w:type="auto"/>
          </w:tcPr>
          <w:p w14:paraId="5CE7AC56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b/>
                <w:lang w:val="en-US"/>
              </w:rPr>
              <w:t>L4</w:t>
            </w:r>
          </w:p>
        </w:tc>
        <w:tc>
          <w:tcPr>
            <w:tcW w:w="1211" w:type="dxa"/>
          </w:tcPr>
          <w:p w14:paraId="3ECB449F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84 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  <w:tc>
          <w:tcPr>
            <w:tcW w:w="1134" w:type="dxa"/>
          </w:tcPr>
          <w:p w14:paraId="17145863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75 (</w:t>
            </w:r>
            <w:r w:rsidRPr="00E629DC">
              <w:rPr>
                <w:rFonts w:eastAsia="Calibri"/>
                <w:i/>
              </w:rPr>
              <w:t>S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</w:tr>
      <w:tr w:rsidR="009854EE" w:rsidRPr="00E629DC" w14:paraId="5DE3BB61" w14:textId="77777777" w:rsidTr="00C914A0">
        <w:trPr>
          <w:trHeight w:val="172"/>
        </w:trPr>
        <w:tc>
          <w:tcPr>
            <w:tcW w:w="0" w:type="auto"/>
            <w:vMerge w:val="restart"/>
          </w:tcPr>
          <w:p w14:paraId="58F5003C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b/>
                <w:lang w:val="en-US"/>
              </w:rPr>
              <w:t>L5</w:t>
            </w:r>
          </w:p>
        </w:tc>
        <w:tc>
          <w:tcPr>
            <w:tcW w:w="1211" w:type="dxa"/>
            <w:vMerge w:val="restart"/>
          </w:tcPr>
          <w:p w14:paraId="4A16EAAB" w14:textId="77777777" w:rsidR="009854EE" w:rsidRPr="00E629DC" w:rsidRDefault="009854EE" w:rsidP="009854EE">
            <w:pPr>
              <w:jc w:val="both"/>
              <w:rPr>
                <w:rFonts w:eastAsia="Calibri"/>
                <w:b/>
              </w:rPr>
            </w:pPr>
            <w:r w:rsidRPr="00E629DC">
              <w:rPr>
                <w:rFonts w:eastAsia="Calibri"/>
                <w:b/>
              </w:rPr>
              <w:t xml:space="preserve">98 </w:t>
            </w:r>
            <w:r w:rsidRPr="00E629DC">
              <w:rPr>
                <w:rFonts w:eastAsia="Calibri"/>
              </w:rPr>
              <w:t>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  <w:tc>
          <w:tcPr>
            <w:tcW w:w="1134" w:type="dxa"/>
          </w:tcPr>
          <w:p w14:paraId="6C35900A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85 (</w:t>
            </w:r>
            <w:r w:rsidRPr="00E629DC">
              <w:rPr>
                <w:rFonts w:eastAsia="Calibri"/>
                <w:i/>
              </w:rPr>
              <w:t>S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</w:tr>
      <w:tr w:rsidR="009854EE" w:rsidRPr="00E629DC" w14:paraId="542A6AAC" w14:textId="77777777" w:rsidTr="00C914A0">
        <w:trPr>
          <w:trHeight w:val="107"/>
        </w:trPr>
        <w:tc>
          <w:tcPr>
            <w:tcW w:w="0" w:type="auto"/>
            <w:vMerge/>
          </w:tcPr>
          <w:p w14:paraId="049859B9" w14:textId="77777777" w:rsidR="009854EE" w:rsidRPr="00E629DC" w:rsidRDefault="009854EE" w:rsidP="009854EE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1211" w:type="dxa"/>
            <w:vMerge/>
          </w:tcPr>
          <w:p w14:paraId="63B6CDBF" w14:textId="77777777" w:rsidR="009854EE" w:rsidRPr="00E629DC" w:rsidRDefault="009854EE" w:rsidP="009854EE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76FFF36C" w14:textId="77777777" w:rsidR="009854EE" w:rsidRPr="00E629DC" w:rsidRDefault="009854EE" w:rsidP="009854EE">
            <w:pPr>
              <w:jc w:val="both"/>
              <w:rPr>
                <w:rFonts w:eastAsia="Calibri"/>
                <w:b/>
              </w:rPr>
            </w:pPr>
            <w:r w:rsidRPr="00E629DC">
              <w:rPr>
                <w:rFonts w:eastAsia="Calibri"/>
                <w:b/>
                <w:lang w:val="en-US"/>
              </w:rPr>
              <w:t>97</w:t>
            </w:r>
            <w:r w:rsidRPr="00E629DC">
              <w:rPr>
                <w:rFonts w:eastAsia="Calibri"/>
                <w:vertAlign w:val="superscript"/>
              </w:rPr>
              <w:t xml:space="preserve">в </w:t>
            </w:r>
            <w:r w:rsidRPr="00E629DC">
              <w:rPr>
                <w:rFonts w:eastAsia="Calibri"/>
              </w:rPr>
              <w:t>(</w:t>
            </w:r>
            <w:r w:rsidRPr="00E629DC">
              <w:rPr>
                <w:rFonts w:eastAsia="Calibri"/>
                <w:i/>
              </w:rPr>
              <w:t>S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</w:tr>
      <w:tr w:rsidR="009854EE" w:rsidRPr="00E629DC" w14:paraId="6201FB34" w14:textId="77777777" w:rsidTr="00C914A0">
        <w:tc>
          <w:tcPr>
            <w:tcW w:w="0" w:type="auto"/>
          </w:tcPr>
          <w:p w14:paraId="7A4B2CA9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b/>
                <w:lang w:val="en-US"/>
              </w:rPr>
              <w:t>L6</w:t>
            </w:r>
          </w:p>
        </w:tc>
        <w:tc>
          <w:tcPr>
            <w:tcW w:w="1211" w:type="dxa"/>
          </w:tcPr>
          <w:p w14:paraId="30FD49FA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86 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  <w:tc>
          <w:tcPr>
            <w:tcW w:w="1134" w:type="dxa"/>
          </w:tcPr>
          <w:p w14:paraId="000BDBF5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39 (</w:t>
            </w:r>
            <w:r w:rsidRPr="00E629DC">
              <w:rPr>
                <w:rFonts w:eastAsia="Calibri"/>
                <w:i/>
              </w:rPr>
              <w:t>S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а</w:t>
            </w:r>
          </w:p>
        </w:tc>
      </w:tr>
      <w:tr w:rsidR="009854EE" w:rsidRPr="00E629DC" w14:paraId="62B42634" w14:textId="77777777" w:rsidTr="00C914A0">
        <w:tc>
          <w:tcPr>
            <w:tcW w:w="0" w:type="auto"/>
          </w:tcPr>
          <w:p w14:paraId="010ED263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  <w:b/>
                <w:lang w:val="en-US"/>
              </w:rPr>
              <w:t>L7</w:t>
            </w:r>
          </w:p>
        </w:tc>
        <w:tc>
          <w:tcPr>
            <w:tcW w:w="1211" w:type="dxa"/>
          </w:tcPr>
          <w:p w14:paraId="30A9CE92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88 (</w:t>
            </w:r>
            <w:r w:rsidRPr="00E629DC">
              <w:rPr>
                <w:rFonts w:eastAsia="Calibri"/>
                <w:i/>
              </w:rPr>
              <w:t>S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б</w:t>
            </w:r>
          </w:p>
        </w:tc>
        <w:tc>
          <w:tcPr>
            <w:tcW w:w="1134" w:type="dxa"/>
          </w:tcPr>
          <w:p w14:paraId="7D669020" w14:textId="77777777" w:rsidR="009854EE" w:rsidRPr="00E629DC" w:rsidRDefault="009854EE" w:rsidP="009854EE">
            <w:pPr>
              <w:jc w:val="both"/>
              <w:rPr>
                <w:rFonts w:eastAsia="Calibri"/>
              </w:rPr>
            </w:pPr>
            <w:r w:rsidRPr="00E629DC">
              <w:rPr>
                <w:rFonts w:eastAsia="Calibri"/>
              </w:rPr>
              <w:t>22 (</w:t>
            </w:r>
            <w:r w:rsidRPr="00E629DC">
              <w:rPr>
                <w:rFonts w:eastAsia="Calibri"/>
                <w:i/>
              </w:rPr>
              <w:t>R</w:t>
            </w:r>
            <w:r w:rsidRPr="00E629DC">
              <w:rPr>
                <w:rFonts w:eastAsia="Calibri"/>
              </w:rPr>
              <w:t>)</w:t>
            </w:r>
            <w:r w:rsidRPr="00E629DC">
              <w:rPr>
                <w:rFonts w:eastAsia="Calibri"/>
                <w:vertAlign w:val="superscript"/>
              </w:rPr>
              <w:t>б</w:t>
            </w:r>
          </w:p>
        </w:tc>
      </w:tr>
    </w:tbl>
    <w:p w14:paraId="342A83D0" w14:textId="77777777" w:rsidR="009854EE" w:rsidRPr="005729AA" w:rsidRDefault="009854EE" w:rsidP="009854EE">
      <w:pPr>
        <w:rPr>
          <w:rFonts w:eastAsia="Calibri"/>
          <w:lang w:eastAsia="en-US"/>
        </w:rPr>
      </w:pPr>
      <w:proofErr w:type="spellStart"/>
      <w:r w:rsidRPr="005729AA">
        <w:rPr>
          <w:rFonts w:eastAsia="Calibri"/>
          <w:vertAlign w:val="superscript"/>
          <w:lang w:eastAsia="en-US"/>
        </w:rPr>
        <w:t>а</w:t>
      </w:r>
      <w:r w:rsidRPr="005729AA">
        <w:rPr>
          <w:rFonts w:eastAsia="Calibri"/>
          <w:lang w:eastAsia="en-US"/>
        </w:rPr>
        <w:t>При</w:t>
      </w:r>
      <w:proofErr w:type="spellEnd"/>
      <w:r w:rsidRPr="005729AA">
        <w:rPr>
          <w:rFonts w:eastAsia="Calibri"/>
          <w:lang w:eastAsia="en-US"/>
        </w:rPr>
        <w:t xml:space="preserve"> соотношении </w:t>
      </w:r>
      <w:r w:rsidRPr="005729AA">
        <w:rPr>
          <w:rFonts w:eastAsia="Calibri"/>
          <w:b/>
          <w:lang w:val="en-US" w:eastAsia="en-US"/>
        </w:rPr>
        <w:t>L</w:t>
      </w:r>
      <w:r w:rsidRPr="005729AA">
        <w:rPr>
          <w:rFonts w:eastAsia="Calibri"/>
          <w:lang w:eastAsia="en-US"/>
        </w:rPr>
        <w:t>/</w:t>
      </w:r>
      <w:proofErr w:type="spellStart"/>
      <w:r w:rsidRPr="005729AA">
        <w:rPr>
          <w:rFonts w:eastAsia="Calibri"/>
          <w:lang w:eastAsia="en-US"/>
        </w:rPr>
        <w:t>Pd</w:t>
      </w:r>
      <w:proofErr w:type="spellEnd"/>
      <w:r w:rsidRPr="005729AA">
        <w:rPr>
          <w:rFonts w:eastAsia="Calibri"/>
          <w:lang w:eastAsia="en-US"/>
        </w:rPr>
        <w:t xml:space="preserve"> = 1, </w:t>
      </w:r>
    </w:p>
    <w:p w14:paraId="5E0FA41E" w14:textId="77777777" w:rsidR="009854EE" w:rsidRPr="005729AA" w:rsidRDefault="009854EE" w:rsidP="009854EE">
      <w:pPr>
        <w:rPr>
          <w:rFonts w:eastAsia="Calibri"/>
          <w:lang w:val="en-US" w:eastAsia="en-US"/>
        </w:rPr>
      </w:pPr>
      <w:r w:rsidRPr="005729AA">
        <w:rPr>
          <w:rFonts w:eastAsia="Calibri"/>
          <w:vertAlign w:val="superscript"/>
          <w:lang w:eastAsia="en-US"/>
        </w:rPr>
        <w:t>б</w:t>
      </w:r>
      <w:r w:rsidRPr="005729AA">
        <w:rPr>
          <w:rFonts w:eastAsia="Calibri"/>
          <w:b/>
          <w:lang w:val="en-US" w:eastAsia="en-US"/>
        </w:rPr>
        <w:t>L</w:t>
      </w:r>
      <w:r w:rsidRPr="005729AA">
        <w:rPr>
          <w:rFonts w:eastAsia="Calibri"/>
          <w:lang w:eastAsia="en-US"/>
        </w:rPr>
        <w:t>/</w:t>
      </w:r>
      <w:proofErr w:type="spellStart"/>
      <w:r w:rsidRPr="005729AA">
        <w:rPr>
          <w:rFonts w:eastAsia="Calibri"/>
          <w:lang w:eastAsia="en-US"/>
        </w:rPr>
        <w:t>Pd</w:t>
      </w:r>
      <w:proofErr w:type="spellEnd"/>
      <w:r w:rsidRPr="005729AA">
        <w:rPr>
          <w:rFonts w:eastAsia="Calibri"/>
          <w:lang w:eastAsia="en-US"/>
        </w:rPr>
        <w:t xml:space="preserve"> = </w:t>
      </w:r>
      <w:r w:rsidRPr="005729AA">
        <w:rPr>
          <w:rFonts w:eastAsia="Calibri"/>
          <w:lang w:val="en-US" w:eastAsia="en-US"/>
        </w:rPr>
        <w:t>2</w:t>
      </w:r>
    </w:p>
    <w:p w14:paraId="323E92DC" w14:textId="746116C2" w:rsidR="005729AA" w:rsidRDefault="009854EE" w:rsidP="005729AA">
      <w:pPr>
        <w:rPr>
          <w:rFonts w:eastAsia="Calibri"/>
          <w:lang w:eastAsia="en-US"/>
        </w:rPr>
      </w:pPr>
      <w:r w:rsidRPr="005729AA">
        <w:rPr>
          <w:rFonts w:eastAsia="Calibri"/>
          <w:vertAlign w:val="superscript"/>
          <w:lang w:eastAsia="en-US"/>
        </w:rPr>
        <w:t>в</w:t>
      </w:r>
      <w:r w:rsidRPr="005729AA">
        <w:rPr>
          <w:rFonts w:eastAsia="Calibri"/>
          <w:lang w:eastAsia="en-US"/>
        </w:rPr>
        <w:t xml:space="preserve"> Вместо (</w:t>
      </w:r>
      <w:r w:rsidRPr="005729AA">
        <w:rPr>
          <w:rFonts w:eastAsia="Calibri"/>
          <w:i/>
          <w:lang w:eastAsia="en-US"/>
        </w:rPr>
        <w:t>Е</w:t>
      </w:r>
      <w:r w:rsidRPr="005729AA">
        <w:rPr>
          <w:rFonts w:eastAsia="Calibri"/>
          <w:lang w:eastAsia="en-US"/>
        </w:rPr>
        <w:t>)-</w:t>
      </w:r>
      <w:proofErr w:type="spellStart"/>
      <w:r w:rsidRPr="00E629DC">
        <w:rPr>
          <w:rFonts w:eastAsia="Calibri"/>
          <w:lang w:eastAsia="en-US"/>
        </w:rPr>
        <w:t>дифенилаллилацетата</w:t>
      </w:r>
      <w:proofErr w:type="spellEnd"/>
      <w:r w:rsidRPr="00E629DC">
        <w:rPr>
          <w:rFonts w:eastAsia="Calibri"/>
          <w:lang w:eastAsia="en-US"/>
        </w:rPr>
        <w:t xml:space="preserve"> был взят </w:t>
      </w:r>
      <w:r w:rsidR="005729AA">
        <w:rPr>
          <w:rFonts w:eastAsia="Calibri"/>
          <w:lang w:eastAsia="en-US"/>
        </w:rPr>
        <w:t xml:space="preserve">соответствующий </w:t>
      </w:r>
      <w:proofErr w:type="spellStart"/>
      <w:r w:rsidRPr="00E629DC">
        <w:rPr>
          <w:rFonts w:eastAsia="Calibri"/>
          <w:lang w:eastAsia="en-US"/>
        </w:rPr>
        <w:t>этилкарбонат</w:t>
      </w:r>
      <w:proofErr w:type="spellEnd"/>
      <w:r w:rsidR="005729AA">
        <w:rPr>
          <w:rFonts w:eastAsia="Calibri"/>
          <w:lang w:eastAsia="en-US"/>
        </w:rPr>
        <w:t>.</w:t>
      </w:r>
    </w:p>
    <w:p w14:paraId="6F45067F" w14:textId="63B7E236" w:rsidR="009854EE" w:rsidRPr="00E629DC" w:rsidRDefault="009854EE" w:rsidP="009854EE">
      <w:pPr>
        <w:ind w:firstLine="397"/>
        <w:jc w:val="both"/>
        <w:rPr>
          <w:rFonts w:eastAsia="Calibri"/>
          <w:lang w:eastAsia="en-US"/>
        </w:rPr>
      </w:pPr>
      <w:r w:rsidRPr="00E629DC">
        <w:rPr>
          <w:rFonts w:eastAsia="Calibri"/>
          <w:lang w:eastAsia="en-US"/>
        </w:rPr>
        <w:lastRenderedPageBreak/>
        <w:t xml:space="preserve">Самым эффективным оказался лиганд </w:t>
      </w:r>
      <w:r w:rsidRPr="00E629DC">
        <w:rPr>
          <w:rFonts w:eastAsia="Calibri"/>
          <w:b/>
          <w:lang w:val="en-US" w:eastAsia="en-US"/>
        </w:rPr>
        <w:t>L</w:t>
      </w:r>
      <w:r w:rsidRPr="003572AA">
        <w:rPr>
          <w:rFonts w:eastAsia="Calibri"/>
          <w:b/>
          <w:lang w:eastAsia="en-US"/>
        </w:rPr>
        <w:t>5</w:t>
      </w:r>
      <w:r w:rsidRPr="00E629DC">
        <w:rPr>
          <w:rFonts w:eastAsia="Calibri"/>
          <w:lang w:eastAsia="en-US"/>
        </w:rPr>
        <w:t xml:space="preserve">, обеспечивший 98 и 97% </w:t>
      </w:r>
      <w:r w:rsidRPr="00E629DC">
        <w:rPr>
          <w:rFonts w:eastAsia="Calibri"/>
          <w:i/>
          <w:lang w:eastAsia="en-US"/>
        </w:rPr>
        <w:t>ее</w:t>
      </w:r>
      <w:r w:rsidRPr="00E629DC">
        <w:rPr>
          <w:rFonts w:eastAsia="Calibri"/>
          <w:lang w:eastAsia="en-US"/>
        </w:rPr>
        <w:t xml:space="preserve"> для продуктов </w:t>
      </w:r>
      <w:r w:rsidRPr="00E629DC">
        <w:rPr>
          <w:rFonts w:eastAsia="Calibri"/>
          <w:b/>
          <w:lang w:eastAsia="en-US"/>
        </w:rPr>
        <w:t>1</w:t>
      </w:r>
      <w:r w:rsidRPr="00E629DC">
        <w:rPr>
          <w:rFonts w:eastAsia="Calibri"/>
          <w:b/>
          <w:vertAlign w:val="subscript"/>
          <w:lang w:eastAsia="en-US"/>
        </w:rPr>
        <w:t xml:space="preserve"> </w:t>
      </w:r>
      <w:r w:rsidRPr="00E629DC">
        <w:rPr>
          <w:rFonts w:eastAsia="Calibri"/>
          <w:lang w:eastAsia="en-US"/>
        </w:rPr>
        <w:t xml:space="preserve">и </w:t>
      </w:r>
      <w:r w:rsidR="003572AA" w:rsidRPr="003572AA">
        <w:rPr>
          <w:rFonts w:eastAsia="Calibri"/>
          <w:b/>
          <w:lang w:eastAsia="en-US"/>
        </w:rPr>
        <w:t>2</w:t>
      </w:r>
      <w:r w:rsidRPr="00E629DC">
        <w:rPr>
          <w:rFonts w:eastAsia="Calibri"/>
          <w:lang w:eastAsia="en-US"/>
        </w:rPr>
        <w:t xml:space="preserve"> соответственно. Стерео-дифференцирующая способность аналогичных </w:t>
      </w:r>
      <w:r w:rsidRPr="00E629DC">
        <w:rPr>
          <w:rFonts w:eastAsia="Calibri"/>
          <w:i/>
          <w:lang w:val="en-US" w:eastAsia="en-US"/>
        </w:rPr>
        <w:t>P</w:t>
      </w:r>
      <w:r w:rsidRPr="00E629DC">
        <w:rPr>
          <w:rFonts w:eastAsia="Calibri"/>
          <w:i/>
          <w:lang w:eastAsia="en-US"/>
        </w:rPr>
        <w:t>,</w:t>
      </w:r>
      <w:r w:rsidRPr="00E629DC">
        <w:rPr>
          <w:rFonts w:eastAsia="Calibri"/>
          <w:i/>
          <w:lang w:val="en-US" w:eastAsia="en-US"/>
        </w:rPr>
        <w:t>N</w:t>
      </w:r>
      <w:r w:rsidRPr="00E629DC">
        <w:rPr>
          <w:rFonts w:eastAsia="Calibri"/>
          <w:lang w:eastAsia="en-US"/>
        </w:rPr>
        <w:t>-</w:t>
      </w:r>
      <w:proofErr w:type="spellStart"/>
      <w:r w:rsidRPr="00E629DC">
        <w:rPr>
          <w:rFonts w:eastAsia="Calibri"/>
          <w:lang w:eastAsia="en-US"/>
        </w:rPr>
        <w:t>бидентатного</w:t>
      </w:r>
      <w:proofErr w:type="spellEnd"/>
      <w:r w:rsidRPr="00E629DC">
        <w:rPr>
          <w:rFonts w:eastAsia="Calibri"/>
          <w:lang w:eastAsia="en-US"/>
        </w:rPr>
        <w:t xml:space="preserve"> и </w:t>
      </w:r>
      <w:proofErr w:type="spellStart"/>
      <w:r w:rsidRPr="00E629DC">
        <w:rPr>
          <w:rFonts w:eastAsia="Calibri"/>
          <w:lang w:eastAsia="en-US"/>
        </w:rPr>
        <w:t>монодентатного</w:t>
      </w:r>
      <w:proofErr w:type="spellEnd"/>
      <w:r w:rsidRPr="00E629DC">
        <w:rPr>
          <w:rFonts w:eastAsia="Calibri"/>
          <w:lang w:eastAsia="en-US"/>
        </w:rPr>
        <w:t xml:space="preserve"> лигандов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b/>
          <w:lang w:eastAsia="en-US"/>
        </w:rPr>
        <w:t>6</w:t>
      </w:r>
      <w:r w:rsidRPr="00E629DC">
        <w:rPr>
          <w:rFonts w:eastAsia="Calibri"/>
          <w:lang w:eastAsia="en-US"/>
        </w:rPr>
        <w:t xml:space="preserve"> и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b/>
          <w:lang w:eastAsia="en-US"/>
        </w:rPr>
        <w:t xml:space="preserve">7 </w:t>
      </w:r>
      <w:r w:rsidRPr="00E629DC">
        <w:rPr>
          <w:rFonts w:eastAsia="Calibri"/>
          <w:lang w:eastAsia="en-US"/>
        </w:rPr>
        <w:t xml:space="preserve">была заметно ниже. Возможность </w:t>
      </w:r>
      <w:proofErr w:type="spellStart"/>
      <w:r w:rsidRPr="00E629DC">
        <w:rPr>
          <w:rFonts w:eastAsia="Calibri"/>
          <w:lang w:eastAsia="en-US"/>
        </w:rPr>
        <w:t>бидентатной</w:t>
      </w:r>
      <w:proofErr w:type="spellEnd"/>
      <w:r w:rsidRPr="00E629DC">
        <w:rPr>
          <w:rFonts w:eastAsia="Calibri"/>
          <w:lang w:eastAsia="en-US"/>
        </w:rPr>
        <w:t xml:space="preserve"> координации лиганда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b/>
          <w:lang w:eastAsia="en-US"/>
        </w:rPr>
        <w:t>5</w:t>
      </w:r>
      <w:r w:rsidRPr="00E629DC">
        <w:rPr>
          <w:rFonts w:eastAsia="Calibri"/>
          <w:lang w:eastAsia="en-US"/>
        </w:rPr>
        <w:t xml:space="preserve"> подтверждена методами ЯМР-спектроскопии и масс-спектрометрии для хелатного комплекса [</w:t>
      </w:r>
      <w:proofErr w:type="spellStart"/>
      <w:r w:rsidRPr="00E629DC">
        <w:rPr>
          <w:rFonts w:eastAsia="Calibri"/>
          <w:lang w:eastAsia="en-US"/>
        </w:rPr>
        <w:t>Pd</w:t>
      </w:r>
      <w:proofErr w:type="spellEnd"/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b/>
          <w:lang w:eastAsia="en-US"/>
        </w:rPr>
        <w:t>5</w:t>
      </w:r>
      <w:r w:rsidRPr="00E629DC">
        <w:rPr>
          <w:rFonts w:eastAsia="Calibri"/>
          <w:lang w:eastAsia="en-US"/>
        </w:rPr>
        <w:t>(π-</w:t>
      </w:r>
      <w:proofErr w:type="spellStart"/>
      <w:r w:rsidRPr="00E629DC">
        <w:rPr>
          <w:rFonts w:eastAsia="Calibri"/>
          <w:lang w:eastAsia="en-US"/>
        </w:rPr>
        <w:t>аллил</w:t>
      </w:r>
      <w:proofErr w:type="spellEnd"/>
      <w:r w:rsidRPr="00E629DC">
        <w:rPr>
          <w:rFonts w:eastAsia="Calibri"/>
          <w:lang w:eastAsia="en-US"/>
        </w:rPr>
        <w:t>)]</w:t>
      </w:r>
      <w:r w:rsidRPr="00E629DC">
        <w:rPr>
          <w:rFonts w:eastAsia="Calibri"/>
          <w:lang w:val="en-US" w:eastAsia="en-US"/>
        </w:rPr>
        <w:t>BF</w:t>
      </w:r>
      <w:r w:rsidRPr="00E629DC">
        <w:rPr>
          <w:rFonts w:eastAsia="Calibri"/>
          <w:vertAlign w:val="subscript"/>
          <w:lang w:eastAsia="en-US"/>
        </w:rPr>
        <w:t>4</w:t>
      </w:r>
      <w:r w:rsidRPr="00E629DC">
        <w:rPr>
          <w:rFonts w:eastAsia="Calibri"/>
          <w:lang w:eastAsia="en-US"/>
        </w:rPr>
        <w:t>.</w:t>
      </w:r>
    </w:p>
    <w:p w14:paraId="41134BF3" w14:textId="1C55746F" w:rsidR="005729AA" w:rsidRDefault="009854EE" w:rsidP="005729AA">
      <w:pPr>
        <w:ind w:firstLine="397"/>
        <w:jc w:val="both"/>
        <w:rPr>
          <w:rFonts w:eastAsia="Calibri"/>
          <w:lang w:eastAsia="en-US"/>
        </w:rPr>
      </w:pPr>
      <w:r w:rsidRPr="00E629DC">
        <w:rPr>
          <w:rFonts w:eastAsia="Calibri"/>
          <w:lang w:eastAsia="en-US"/>
        </w:rPr>
        <w:t xml:space="preserve">На примере лигандов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b/>
          <w:lang w:eastAsia="en-US"/>
        </w:rPr>
        <w:t>2,3</w:t>
      </w:r>
      <w:r w:rsidRPr="00E629DC">
        <w:rPr>
          <w:rFonts w:eastAsia="Calibri"/>
          <w:lang w:eastAsia="en-US"/>
        </w:rPr>
        <w:t xml:space="preserve"> показана зависимость </w:t>
      </w:r>
      <w:proofErr w:type="spellStart"/>
      <w:r w:rsidRPr="00E629DC">
        <w:rPr>
          <w:rFonts w:eastAsia="Calibri"/>
          <w:lang w:eastAsia="en-US"/>
        </w:rPr>
        <w:t>энантиомерного</w:t>
      </w:r>
      <w:proofErr w:type="spellEnd"/>
      <w:r w:rsidRPr="00E629DC">
        <w:rPr>
          <w:rFonts w:eastAsia="Calibri"/>
          <w:lang w:eastAsia="en-US"/>
        </w:rPr>
        <w:t xml:space="preserve"> избытка и абсолютной конфигурации продукта </w:t>
      </w:r>
      <w:r w:rsidRPr="00E629DC">
        <w:rPr>
          <w:rFonts w:eastAsia="Calibri"/>
          <w:b/>
          <w:lang w:eastAsia="en-US"/>
        </w:rPr>
        <w:t>1</w:t>
      </w:r>
      <w:r w:rsidRPr="00E629DC">
        <w:rPr>
          <w:rFonts w:eastAsia="Calibri"/>
          <w:lang w:eastAsia="en-US"/>
        </w:rPr>
        <w:t xml:space="preserve"> от соотношения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lang w:eastAsia="en-US"/>
        </w:rPr>
        <w:t>/[</w:t>
      </w:r>
      <w:proofErr w:type="spellStart"/>
      <w:r w:rsidRPr="00E629DC">
        <w:rPr>
          <w:rFonts w:eastAsia="Calibri"/>
          <w:lang w:eastAsia="en-US"/>
        </w:rPr>
        <w:t>Pd</w:t>
      </w:r>
      <w:proofErr w:type="spellEnd"/>
      <w:r w:rsidRPr="00E629DC">
        <w:rPr>
          <w:rFonts w:eastAsia="Calibri"/>
          <w:lang w:eastAsia="en-US"/>
        </w:rPr>
        <w:t>(π-</w:t>
      </w:r>
      <w:r w:rsidRPr="00E629DC">
        <w:rPr>
          <w:rFonts w:eastAsia="Calibri"/>
          <w:lang w:val="en-US" w:eastAsia="en-US"/>
        </w:rPr>
        <w:t>allyl</w:t>
      </w:r>
      <w:r w:rsidRPr="00E629DC">
        <w:rPr>
          <w:rFonts w:eastAsia="Calibri"/>
          <w:lang w:eastAsia="en-US"/>
        </w:rPr>
        <w:t>)</w:t>
      </w:r>
      <w:proofErr w:type="spellStart"/>
      <w:r w:rsidRPr="00E629DC">
        <w:rPr>
          <w:rFonts w:eastAsia="Calibri"/>
          <w:lang w:eastAsia="en-US"/>
        </w:rPr>
        <w:t>Cl</w:t>
      </w:r>
      <w:proofErr w:type="spellEnd"/>
      <w:r w:rsidRPr="00E629DC">
        <w:rPr>
          <w:rFonts w:eastAsia="Calibri"/>
          <w:lang w:eastAsia="en-US"/>
        </w:rPr>
        <w:t>]</w:t>
      </w:r>
      <w:r w:rsidRPr="00E629DC">
        <w:rPr>
          <w:rFonts w:eastAsia="Calibri"/>
          <w:vertAlign w:val="subscript"/>
          <w:lang w:eastAsia="en-US"/>
        </w:rPr>
        <w:t>2</w:t>
      </w:r>
      <w:r w:rsidRPr="00E629DC">
        <w:rPr>
          <w:rFonts w:eastAsia="Calibri"/>
          <w:lang w:eastAsia="en-US"/>
        </w:rPr>
        <w:t xml:space="preserve">, что может быть результатом изменения типа координации лиганда (с </w:t>
      </w:r>
      <w:proofErr w:type="spellStart"/>
      <w:r w:rsidRPr="00E629DC">
        <w:rPr>
          <w:rFonts w:eastAsia="Calibri"/>
          <w:lang w:eastAsia="en-US"/>
        </w:rPr>
        <w:t>бидентатной</w:t>
      </w:r>
      <w:proofErr w:type="spellEnd"/>
      <w:r w:rsidRPr="00E629DC">
        <w:rPr>
          <w:rFonts w:eastAsia="Calibri"/>
          <w:lang w:eastAsia="en-US"/>
        </w:rPr>
        <w:t xml:space="preserve"> на </w:t>
      </w:r>
      <w:proofErr w:type="spellStart"/>
      <w:r w:rsidRPr="00E629DC">
        <w:rPr>
          <w:rFonts w:eastAsia="Calibri"/>
          <w:lang w:eastAsia="en-US"/>
        </w:rPr>
        <w:t>монодентатную</w:t>
      </w:r>
      <w:proofErr w:type="spellEnd"/>
      <w:r w:rsidRPr="00E629DC">
        <w:rPr>
          <w:rFonts w:eastAsia="Calibri"/>
          <w:lang w:eastAsia="en-US"/>
        </w:rPr>
        <w:t xml:space="preserve">) при увеличении отношения </w:t>
      </w:r>
      <w:r w:rsidRPr="00E629DC">
        <w:rPr>
          <w:rFonts w:eastAsia="Calibri"/>
          <w:b/>
          <w:lang w:val="en-US" w:eastAsia="en-US"/>
        </w:rPr>
        <w:t>L</w:t>
      </w:r>
      <w:r w:rsidRPr="00E629DC">
        <w:rPr>
          <w:rFonts w:eastAsia="Calibri"/>
          <w:lang w:eastAsia="en-US"/>
        </w:rPr>
        <w:t>/</w:t>
      </w:r>
      <w:proofErr w:type="spellStart"/>
      <w:r w:rsidRPr="00E629DC">
        <w:rPr>
          <w:rFonts w:eastAsia="Calibri"/>
          <w:lang w:val="en-US" w:eastAsia="en-US"/>
        </w:rPr>
        <w:t>Pd</w:t>
      </w:r>
      <w:proofErr w:type="spellEnd"/>
      <w:r w:rsidRPr="00E629DC">
        <w:rPr>
          <w:rFonts w:eastAsia="Calibri"/>
          <w:lang w:eastAsia="en-US"/>
        </w:rPr>
        <w:t xml:space="preserve">. Отметим, что в этом случае один и тот же </w:t>
      </w:r>
      <w:proofErr w:type="spellStart"/>
      <w:r w:rsidRPr="00E629DC">
        <w:rPr>
          <w:rFonts w:eastAsia="Calibri"/>
          <w:lang w:eastAsia="en-US"/>
        </w:rPr>
        <w:t>энантиомер</w:t>
      </w:r>
      <w:proofErr w:type="spellEnd"/>
      <w:r w:rsidRPr="00E629DC">
        <w:rPr>
          <w:rFonts w:eastAsia="Calibri"/>
          <w:lang w:eastAsia="en-US"/>
        </w:rPr>
        <w:t xml:space="preserve"> лиганда позволяет получить оба </w:t>
      </w:r>
      <w:proofErr w:type="spellStart"/>
      <w:r w:rsidRPr="00E629DC">
        <w:rPr>
          <w:rFonts w:eastAsia="Calibri"/>
          <w:lang w:eastAsia="en-US"/>
        </w:rPr>
        <w:t>энантиомера</w:t>
      </w:r>
      <w:proofErr w:type="spellEnd"/>
      <w:r w:rsidRPr="00E629DC">
        <w:rPr>
          <w:rFonts w:eastAsia="Calibri"/>
          <w:lang w:eastAsia="en-US"/>
        </w:rPr>
        <w:t xml:space="preserve"> продукта </w:t>
      </w:r>
      <w:r w:rsidRPr="00E629DC">
        <w:rPr>
          <w:rFonts w:eastAsia="Calibri"/>
          <w:b/>
          <w:lang w:eastAsia="en-US"/>
        </w:rPr>
        <w:t>1</w:t>
      </w:r>
      <w:r w:rsidRPr="00E629DC">
        <w:rPr>
          <w:rFonts w:eastAsia="Calibri"/>
          <w:lang w:eastAsia="en-US"/>
        </w:rPr>
        <w:t>.</w:t>
      </w:r>
    </w:p>
    <w:p w14:paraId="356817E7" w14:textId="77777777" w:rsidR="005729AA" w:rsidRDefault="005729AA" w:rsidP="005729AA">
      <w:pPr>
        <w:jc w:val="both"/>
        <w:rPr>
          <w:rFonts w:eastAsia="Calibri"/>
          <w:lang w:eastAsia="en-US"/>
        </w:rPr>
        <w:sectPr w:rsidR="005729AA" w:rsidSect="005729AA">
          <w:type w:val="continuous"/>
          <w:pgSz w:w="11906" w:h="16838"/>
          <w:pgMar w:top="1134" w:right="850" w:bottom="1134" w:left="1701" w:header="708" w:footer="708" w:gutter="0"/>
          <w:cols w:num="2" w:space="566" w:equalWidth="0">
            <w:col w:w="3402" w:space="566"/>
            <w:col w:w="5387"/>
          </w:cols>
          <w:docGrid w:linePitch="360"/>
        </w:sectPr>
      </w:pPr>
    </w:p>
    <w:p w14:paraId="03818F16" w14:textId="77777777" w:rsidR="00D50142" w:rsidRPr="00E629DC" w:rsidRDefault="00D50142" w:rsidP="009854EE">
      <w:pPr>
        <w:jc w:val="both"/>
        <w:rPr>
          <w:rFonts w:eastAsia="Calibri"/>
          <w:lang w:eastAsia="en-US"/>
        </w:rPr>
        <w:sectPr w:rsidR="00D50142" w:rsidRPr="00E629DC" w:rsidSect="00A87A72">
          <w:type w:val="continuous"/>
          <w:pgSz w:w="11906" w:h="16838"/>
          <w:pgMar w:top="1134" w:right="850" w:bottom="1134" w:left="1701" w:header="708" w:footer="708" w:gutter="0"/>
          <w:cols w:num="2" w:space="566" w:equalWidth="0">
            <w:col w:w="2495" w:space="566"/>
            <w:col w:w="6294"/>
          </w:cols>
          <w:docGrid w:linePitch="360"/>
        </w:sectPr>
      </w:pPr>
    </w:p>
    <w:p w14:paraId="022FC08C" w14:textId="42B71FF0" w:rsidR="00A02163" w:rsidRPr="00E629DC" w:rsidRDefault="00032392" w:rsidP="005729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i/>
          <w:iCs/>
          <w:color w:val="000000"/>
        </w:rPr>
      </w:pPr>
      <w:r w:rsidRPr="00E629DC">
        <w:rPr>
          <w:i/>
          <w:iCs/>
          <w:color w:val="000000"/>
        </w:rPr>
        <w:lastRenderedPageBreak/>
        <w:t>Исследование выполнено при финансовой поддержке Российского научного фонда (проект № 19-13-00197).</w:t>
      </w:r>
    </w:p>
    <w:p w14:paraId="0000000E" w14:textId="77777777" w:rsidR="00130241" w:rsidRPr="00E629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DC">
        <w:rPr>
          <w:b/>
          <w:color w:val="000000"/>
        </w:rPr>
        <w:t>Литература</w:t>
      </w:r>
    </w:p>
    <w:p w14:paraId="3486C755" w14:textId="51C92DAF" w:rsidR="00116478" w:rsidRPr="00D50142" w:rsidRDefault="00032392" w:rsidP="00D50142">
      <w:pPr>
        <w:ind w:firstLine="397"/>
        <w:jc w:val="both"/>
      </w:pPr>
      <w:r w:rsidRPr="00E629DC">
        <w:t xml:space="preserve">1. </w:t>
      </w:r>
      <w:r w:rsidR="00985041" w:rsidRPr="00E629DC">
        <w:t xml:space="preserve">Гаврилов К.Н., </w:t>
      </w:r>
      <w:proofErr w:type="spellStart"/>
      <w:r w:rsidR="00985041" w:rsidRPr="00E629DC">
        <w:t>Чучелкин</w:t>
      </w:r>
      <w:proofErr w:type="spellEnd"/>
      <w:r w:rsidR="00985041" w:rsidRPr="00E629DC">
        <w:t xml:space="preserve"> И.В., </w:t>
      </w:r>
      <w:proofErr w:type="spellStart"/>
      <w:r w:rsidR="00985041" w:rsidRPr="00E629DC">
        <w:t>Трунина</w:t>
      </w:r>
      <w:proofErr w:type="spellEnd"/>
      <w:r w:rsidR="00985041" w:rsidRPr="00E629DC">
        <w:t xml:space="preserve"> В.М., </w:t>
      </w:r>
      <w:proofErr w:type="spellStart"/>
      <w:r w:rsidR="00985041" w:rsidRPr="00E629DC">
        <w:t>Фирсин</w:t>
      </w:r>
      <w:proofErr w:type="spellEnd"/>
      <w:r w:rsidR="00985041" w:rsidRPr="00E629DC">
        <w:t xml:space="preserve"> И.Д., </w:t>
      </w:r>
      <w:proofErr w:type="spellStart"/>
      <w:r w:rsidR="00985041" w:rsidRPr="00E629DC">
        <w:t>Битяк</w:t>
      </w:r>
      <w:proofErr w:type="spellEnd"/>
      <w:r w:rsidR="00985041" w:rsidRPr="00E629DC">
        <w:t xml:space="preserve"> Я.П., Федоров Д.А., </w:t>
      </w:r>
      <w:proofErr w:type="spellStart"/>
      <w:r w:rsidR="00985041" w:rsidRPr="00E629DC">
        <w:t>Зимарев</w:t>
      </w:r>
      <w:proofErr w:type="spellEnd"/>
      <w:r w:rsidR="00985041" w:rsidRPr="00E629DC">
        <w:t xml:space="preserve"> В.С., Гулюкина Н.С. </w:t>
      </w:r>
      <w:r w:rsidR="00985041" w:rsidRPr="00E629DC">
        <w:rPr>
          <w:i/>
          <w:lang w:val="en-US"/>
        </w:rPr>
        <w:t>P</w:t>
      </w:r>
      <w:r w:rsidR="00985041" w:rsidRPr="00E629DC">
        <w:rPr>
          <w:i/>
        </w:rPr>
        <w:t>,</w:t>
      </w:r>
      <w:r w:rsidR="00985041" w:rsidRPr="00E629DC">
        <w:rPr>
          <w:i/>
          <w:lang w:val="en-US"/>
        </w:rPr>
        <w:t>S</w:t>
      </w:r>
      <w:r w:rsidR="00985041" w:rsidRPr="00E629DC">
        <w:t>-</w:t>
      </w:r>
      <w:proofErr w:type="spellStart"/>
      <w:r w:rsidR="00985041" w:rsidRPr="00E629DC">
        <w:t>Бидентатные</w:t>
      </w:r>
      <w:proofErr w:type="spellEnd"/>
      <w:r w:rsidR="00985041" w:rsidRPr="00E629DC">
        <w:t xml:space="preserve"> </w:t>
      </w:r>
      <w:proofErr w:type="spellStart"/>
      <w:r w:rsidR="00985041" w:rsidRPr="00E629DC">
        <w:t>амидофосфиты</w:t>
      </w:r>
      <w:proofErr w:type="spellEnd"/>
      <w:r w:rsidR="00985041" w:rsidRPr="00E629DC">
        <w:t xml:space="preserve"> с ядром (</w:t>
      </w:r>
      <w:r w:rsidR="00985041" w:rsidRPr="00E629DC">
        <w:rPr>
          <w:i/>
          <w:lang w:val="en-US"/>
        </w:rPr>
        <w:t>Ra</w:t>
      </w:r>
      <w:r w:rsidR="00985041" w:rsidRPr="00E629DC">
        <w:t>)-</w:t>
      </w:r>
      <w:r w:rsidR="00985041" w:rsidRPr="00E629DC">
        <w:rPr>
          <w:lang w:val="en-US"/>
        </w:rPr>
        <w:t>BINOL</w:t>
      </w:r>
      <w:r w:rsidR="00985041" w:rsidRPr="00E629DC">
        <w:t xml:space="preserve"> в катализируемом палладием асимметрическом </w:t>
      </w:r>
      <w:proofErr w:type="spellStart"/>
      <w:r w:rsidR="00985041" w:rsidRPr="00E629DC">
        <w:t>аллильном</w:t>
      </w:r>
      <w:proofErr w:type="spellEnd"/>
      <w:r w:rsidR="00985041" w:rsidRPr="00E629DC">
        <w:t xml:space="preserve"> замещении //  Ж</w:t>
      </w:r>
      <w:r w:rsidR="00D50142">
        <w:t xml:space="preserve">ОХ. </w:t>
      </w:r>
      <w:r w:rsidR="00985041" w:rsidRPr="00E629DC">
        <w:t>2022.</w:t>
      </w:r>
      <w:r w:rsidR="00985041" w:rsidRPr="00E629DC">
        <w:rPr>
          <w:lang w:val="en-US"/>
        </w:rPr>
        <w:t>V</w:t>
      </w:r>
      <w:r w:rsidR="00985041" w:rsidRPr="00E629DC">
        <w:t>. 92. № 12. С. 1884-1892.</w:t>
      </w:r>
    </w:p>
    <w:sectPr w:rsidR="00116478" w:rsidRPr="00D50142" w:rsidSect="00CA7A44">
      <w:type w:val="continuous"/>
      <w:pgSz w:w="11906" w:h="16838"/>
      <w:pgMar w:top="1134" w:right="850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2392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572AA"/>
    <w:rsid w:val="00391C38"/>
    <w:rsid w:val="003B76D6"/>
    <w:rsid w:val="004A26A3"/>
    <w:rsid w:val="004F0EDF"/>
    <w:rsid w:val="00522BF1"/>
    <w:rsid w:val="005729AA"/>
    <w:rsid w:val="00590166"/>
    <w:rsid w:val="0064486E"/>
    <w:rsid w:val="006F7A19"/>
    <w:rsid w:val="00775389"/>
    <w:rsid w:val="00797838"/>
    <w:rsid w:val="007C36D8"/>
    <w:rsid w:val="007F2744"/>
    <w:rsid w:val="008931BE"/>
    <w:rsid w:val="00921D45"/>
    <w:rsid w:val="00945581"/>
    <w:rsid w:val="00985041"/>
    <w:rsid w:val="009854EE"/>
    <w:rsid w:val="009A66DB"/>
    <w:rsid w:val="009B2F80"/>
    <w:rsid w:val="009B3300"/>
    <w:rsid w:val="009F3380"/>
    <w:rsid w:val="00A02163"/>
    <w:rsid w:val="00A314FE"/>
    <w:rsid w:val="00BF36F8"/>
    <w:rsid w:val="00BF4622"/>
    <w:rsid w:val="00CA7A44"/>
    <w:rsid w:val="00CD00B1"/>
    <w:rsid w:val="00D22306"/>
    <w:rsid w:val="00D42542"/>
    <w:rsid w:val="00D50142"/>
    <w:rsid w:val="00D8121C"/>
    <w:rsid w:val="00E22189"/>
    <w:rsid w:val="00E629DC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448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86E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64486E"/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59"/>
    <w:rsid w:val="009854EE"/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448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86E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64486E"/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59"/>
    <w:rsid w:val="009854EE"/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6FE90-9B1C-4D6A-84E4-7D3C96D4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522</cp:lastModifiedBy>
  <cp:revision>11</cp:revision>
  <dcterms:created xsi:type="dcterms:W3CDTF">2022-11-07T09:18:00Z</dcterms:created>
  <dcterms:modified xsi:type="dcterms:W3CDTF">2023-03-13T16:37:00Z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