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6A" w:rsidRPr="005F02AB" w:rsidRDefault="00F72C6A" w:rsidP="00F72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F02AB">
        <w:rPr>
          <w:b/>
          <w:color w:val="000000"/>
        </w:rPr>
        <w:t>Мягкая активация карбоксильной группы в формировании каркаса 3-гидроксиизоиндолинона</w:t>
      </w:r>
    </w:p>
    <w:p w:rsidR="00130241" w:rsidRPr="005F02AB" w:rsidRDefault="00F72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F02AB">
        <w:rPr>
          <w:b/>
          <w:i/>
          <w:color w:val="000000"/>
        </w:rPr>
        <w:t>Саакян</w:t>
      </w:r>
      <w:r w:rsidRPr="005F02AB">
        <w:rPr>
          <w:b/>
          <w:i/>
          <w:color w:val="000000"/>
          <w:vertAlign w:val="superscript"/>
        </w:rPr>
        <w:t xml:space="preserve"> </w:t>
      </w:r>
      <w:r w:rsidRPr="005F02AB">
        <w:rPr>
          <w:b/>
          <w:i/>
          <w:color w:val="000000"/>
        </w:rPr>
        <w:t xml:space="preserve">А.С., Финько А.В., </w:t>
      </w:r>
      <w:proofErr w:type="spellStart"/>
      <w:r w:rsidRPr="005F02AB">
        <w:rPr>
          <w:b/>
          <w:i/>
          <w:color w:val="000000"/>
        </w:rPr>
        <w:t>Белоглазкина</w:t>
      </w:r>
      <w:proofErr w:type="spellEnd"/>
      <w:r w:rsidRPr="005F02AB">
        <w:rPr>
          <w:b/>
          <w:i/>
          <w:color w:val="000000"/>
        </w:rPr>
        <w:t xml:space="preserve"> Е.К.</w:t>
      </w:r>
      <w:r w:rsidR="00EB1F49" w:rsidRPr="005F02AB">
        <w:rPr>
          <w:b/>
          <w:i/>
          <w:color w:val="000000"/>
        </w:rPr>
        <w:t xml:space="preserve"> </w:t>
      </w:r>
    </w:p>
    <w:p w:rsidR="00130241" w:rsidRPr="005F02AB" w:rsidRDefault="00F72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02AB">
        <w:rPr>
          <w:i/>
          <w:color w:val="000000"/>
        </w:rPr>
        <w:t>Студент, 6</w:t>
      </w:r>
      <w:r w:rsidR="00EB1F49" w:rsidRPr="005F02AB">
        <w:rPr>
          <w:i/>
          <w:color w:val="000000"/>
        </w:rPr>
        <w:t xml:space="preserve"> курс специалитета </w:t>
      </w:r>
    </w:p>
    <w:p w:rsidR="00130241" w:rsidRPr="005F02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02AB">
        <w:rPr>
          <w:i/>
          <w:color w:val="000000"/>
        </w:rPr>
        <w:t>Московский государственный университет имени М.В.</w:t>
      </w:r>
      <w:r w:rsidR="00921D45" w:rsidRPr="005F02AB">
        <w:rPr>
          <w:i/>
          <w:color w:val="000000"/>
        </w:rPr>
        <w:t xml:space="preserve"> </w:t>
      </w:r>
      <w:r w:rsidRPr="005F02AB">
        <w:rPr>
          <w:i/>
          <w:color w:val="000000"/>
        </w:rPr>
        <w:t>Ломоносова, </w:t>
      </w:r>
    </w:p>
    <w:p w:rsidR="00130241" w:rsidRPr="005F02AB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02AB">
        <w:rPr>
          <w:i/>
          <w:color w:val="000000"/>
        </w:rPr>
        <w:t>химический</w:t>
      </w:r>
      <w:r w:rsidR="00EB1F49" w:rsidRPr="005F02AB">
        <w:rPr>
          <w:i/>
          <w:color w:val="000000"/>
        </w:rPr>
        <w:t xml:space="preserve"> факультет, Москва, Россия</w:t>
      </w:r>
    </w:p>
    <w:p w:rsidR="00130241" w:rsidRPr="005F02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u w:val="single"/>
        </w:rPr>
      </w:pPr>
      <w:r w:rsidRPr="005F02AB">
        <w:rPr>
          <w:i/>
          <w:color w:val="000000"/>
          <w:lang w:val="en-US"/>
        </w:rPr>
        <w:t>E</w:t>
      </w:r>
      <w:r w:rsidR="003B76D6" w:rsidRPr="005F02AB">
        <w:rPr>
          <w:i/>
          <w:color w:val="000000"/>
        </w:rPr>
        <w:t>-</w:t>
      </w:r>
      <w:r w:rsidRPr="005F02AB">
        <w:rPr>
          <w:i/>
          <w:color w:val="000000"/>
          <w:lang w:val="en-US"/>
        </w:rPr>
        <w:t>mail</w:t>
      </w:r>
      <w:r w:rsidRPr="005F02AB">
        <w:rPr>
          <w:i/>
          <w:color w:val="000000"/>
        </w:rPr>
        <w:t xml:space="preserve">: </w:t>
      </w:r>
      <w:proofErr w:type="spellStart"/>
      <w:r w:rsidR="00A3216B" w:rsidRPr="005F02AB">
        <w:rPr>
          <w:i/>
          <w:u w:val="single"/>
          <w:lang w:val="en-US"/>
        </w:rPr>
        <w:t>arevik</w:t>
      </w:r>
      <w:proofErr w:type="spellEnd"/>
      <w:r w:rsidR="00A3216B" w:rsidRPr="005F02AB">
        <w:rPr>
          <w:i/>
          <w:u w:val="single"/>
        </w:rPr>
        <w:t>-</w:t>
      </w:r>
      <w:proofErr w:type="spellStart"/>
      <w:r w:rsidR="00A3216B" w:rsidRPr="005F02AB">
        <w:rPr>
          <w:i/>
          <w:u w:val="single"/>
          <w:lang w:val="en-US"/>
        </w:rPr>
        <w:t>saakyan</w:t>
      </w:r>
      <w:proofErr w:type="spellEnd"/>
      <w:r w:rsidR="00A3216B" w:rsidRPr="005F02AB">
        <w:rPr>
          <w:i/>
          <w:u w:val="single"/>
        </w:rPr>
        <w:t>@</w:t>
      </w:r>
      <w:r w:rsidR="00A3216B" w:rsidRPr="005F02AB">
        <w:rPr>
          <w:i/>
          <w:u w:val="single"/>
          <w:lang w:val="en-US"/>
        </w:rPr>
        <w:t>mail</w:t>
      </w:r>
      <w:r w:rsidR="00A3216B" w:rsidRPr="005F02AB">
        <w:rPr>
          <w:i/>
          <w:u w:val="single"/>
        </w:rPr>
        <w:t>.</w:t>
      </w:r>
      <w:proofErr w:type="spellStart"/>
      <w:r w:rsidR="00A3216B" w:rsidRPr="005F02AB">
        <w:rPr>
          <w:i/>
          <w:u w:val="single"/>
          <w:lang w:val="en-US"/>
        </w:rPr>
        <w:t>ru</w:t>
      </w:r>
      <w:proofErr w:type="spellEnd"/>
    </w:p>
    <w:p w:rsidR="006E2C28" w:rsidRPr="005F02AB" w:rsidRDefault="00EE75D6" w:rsidP="002551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02AB">
        <w:rPr>
          <w:color w:val="000000"/>
        </w:rPr>
        <w:t>3-Гидроксиизоиндолиноновый фрагмент входит в состав фармакологически активных природных соединений</w:t>
      </w:r>
      <w:r w:rsidR="007E6FC1" w:rsidRPr="005F02AB">
        <w:rPr>
          <w:color w:val="000000"/>
          <w:vertAlign w:val="superscript"/>
        </w:rPr>
        <w:t xml:space="preserve"> </w:t>
      </w:r>
      <w:r w:rsidR="007E6FC1" w:rsidRPr="005F02AB">
        <w:rPr>
          <w:color w:val="000000"/>
        </w:rPr>
        <w:t>[1]</w:t>
      </w:r>
      <w:r w:rsidRPr="005F02AB">
        <w:rPr>
          <w:color w:val="000000"/>
        </w:rPr>
        <w:t xml:space="preserve">, а также используется для дизайна молекул </w:t>
      </w:r>
      <w:proofErr w:type="spellStart"/>
      <w:r w:rsidRPr="005F02AB">
        <w:rPr>
          <w:color w:val="000000"/>
        </w:rPr>
        <w:t>таргетной</w:t>
      </w:r>
      <w:proofErr w:type="spellEnd"/>
      <w:r w:rsidRPr="005F02AB">
        <w:rPr>
          <w:color w:val="000000"/>
        </w:rPr>
        <w:t xml:space="preserve"> терапии</w:t>
      </w:r>
      <w:r w:rsidR="007E6FC1" w:rsidRPr="005F02AB">
        <w:rPr>
          <w:color w:val="000000"/>
          <w:vertAlign w:val="superscript"/>
        </w:rPr>
        <w:t xml:space="preserve"> </w:t>
      </w:r>
      <w:r w:rsidR="007E6FC1" w:rsidRPr="005F02AB">
        <w:rPr>
          <w:color w:val="000000"/>
        </w:rPr>
        <w:t>[2]</w:t>
      </w:r>
      <w:r w:rsidRPr="005F02AB">
        <w:rPr>
          <w:color w:val="000000"/>
        </w:rPr>
        <w:t>. В связи с этим существует необ</w:t>
      </w:r>
      <w:bookmarkStart w:id="0" w:name="_GoBack"/>
      <w:bookmarkEnd w:id="0"/>
      <w:r w:rsidRPr="005F02AB">
        <w:rPr>
          <w:color w:val="000000"/>
        </w:rPr>
        <w:t>ходимость создания наиболее эффективного и универсального подхода к сборке данного гетероцикла.</w:t>
      </w:r>
    </w:p>
    <w:p w:rsidR="00EE75D6" w:rsidRPr="005F02AB" w:rsidRDefault="0025518C" w:rsidP="006E2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F02AB">
        <w:rPr>
          <w:noProof/>
        </w:rPr>
        <w:drawing>
          <wp:inline distT="0" distB="0" distL="0" distR="0">
            <wp:extent cx="4737603" cy="1599989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431" cy="161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18C" w:rsidRPr="005F02AB" w:rsidRDefault="00EE75D6" w:rsidP="002551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5F02AB">
        <w:rPr>
          <w:color w:val="000000"/>
        </w:rPr>
        <w:t xml:space="preserve">Рис. 1. </w:t>
      </w:r>
      <w:r w:rsidR="00A3216B" w:rsidRPr="005F02AB">
        <w:rPr>
          <w:color w:val="000000"/>
        </w:rPr>
        <w:t>Б</w:t>
      </w:r>
      <w:r w:rsidRPr="005F02AB">
        <w:rPr>
          <w:color w:val="000000"/>
        </w:rPr>
        <w:t>иологически активны</w:t>
      </w:r>
      <w:r w:rsidR="00A3216B" w:rsidRPr="005F02AB">
        <w:rPr>
          <w:color w:val="000000"/>
        </w:rPr>
        <w:t>е</w:t>
      </w:r>
      <w:r w:rsidRPr="005F02AB">
        <w:rPr>
          <w:color w:val="000000"/>
        </w:rPr>
        <w:t xml:space="preserve"> молекул</w:t>
      </w:r>
      <w:r w:rsidR="00A3216B" w:rsidRPr="005F02AB">
        <w:rPr>
          <w:color w:val="000000"/>
        </w:rPr>
        <w:t>ы</w:t>
      </w:r>
      <w:r w:rsidRPr="005F02AB">
        <w:rPr>
          <w:color w:val="000000"/>
        </w:rPr>
        <w:t xml:space="preserve"> на основе 3-гидрокси</w:t>
      </w:r>
      <w:r w:rsidR="007E6FC1" w:rsidRPr="005F02AB">
        <w:rPr>
          <w:color w:val="000000"/>
        </w:rPr>
        <w:t>изоиндолинона</w:t>
      </w:r>
    </w:p>
    <w:p w:rsidR="0025518C" w:rsidRPr="005F02AB" w:rsidRDefault="0025518C" w:rsidP="002551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:rsidR="006E2C28" w:rsidRPr="005F02AB" w:rsidRDefault="00145581" w:rsidP="002551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F02AB">
        <w:rPr>
          <w:color w:val="000000"/>
        </w:rPr>
        <w:t xml:space="preserve">Один из самых популярных методов получения необходимого каркаса </w:t>
      </w:r>
      <w:r w:rsidR="00A3216B" w:rsidRPr="005F02AB">
        <w:rPr>
          <w:color w:val="000000"/>
        </w:rPr>
        <w:t xml:space="preserve">является </w:t>
      </w:r>
      <w:r w:rsidRPr="005F02AB">
        <w:rPr>
          <w:color w:val="000000"/>
        </w:rPr>
        <w:t>двухстадий</w:t>
      </w:r>
      <w:r w:rsidR="00A3216B" w:rsidRPr="005F02AB">
        <w:rPr>
          <w:color w:val="000000"/>
        </w:rPr>
        <w:t>ный</w:t>
      </w:r>
      <w:r w:rsidRPr="005F02AB">
        <w:rPr>
          <w:color w:val="000000"/>
        </w:rPr>
        <w:t xml:space="preserve"> синтез из </w:t>
      </w:r>
      <w:r w:rsidRPr="005F02AB">
        <w:rPr>
          <w:i/>
          <w:color w:val="000000"/>
        </w:rPr>
        <w:t>орто-</w:t>
      </w:r>
      <w:r w:rsidRPr="005F02AB">
        <w:rPr>
          <w:color w:val="000000"/>
        </w:rPr>
        <w:t xml:space="preserve">кетокислоты </w:t>
      </w:r>
      <w:r w:rsidRPr="005F02AB">
        <w:rPr>
          <w:b/>
          <w:color w:val="000000"/>
        </w:rPr>
        <w:t>1</w:t>
      </w:r>
      <w:r w:rsidRPr="005F02AB">
        <w:rPr>
          <w:color w:val="000000"/>
        </w:rPr>
        <w:t xml:space="preserve"> через генерирование хлорсодержащей активированной формы</w:t>
      </w:r>
      <w:r w:rsidR="000114FE" w:rsidRPr="005F02AB">
        <w:rPr>
          <w:color w:val="000000"/>
        </w:rPr>
        <w:t xml:space="preserve"> </w:t>
      </w:r>
      <w:r w:rsidR="000114FE" w:rsidRPr="005F02AB">
        <w:rPr>
          <w:b/>
          <w:color w:val="000000"/>
        </w:rPr>
        <w:t>2</w:t>
      </w:r>
      <w:r w:rsidR="00A3216B" w:rsidRPr="005F02AB">
        <w:rPr>
          <w:bCs/>
          <w:color w:val="000000"/>
        </w:rPr>
        <w:t>, который</w:t>
      </w:r>
      <w:r w:rsidRPr="005F02AB">
        <w:rPr>
          <w:color w:val="000000"/>
        </w:rPr>
        <w:t xml:space="preserve"> не является селективным в отношении </w:t>
      </w:r>
      <w:r w:rsidR="0029447E" w:rsidRPr="005F02AB">
        <w:rPr>
          <w:color w:val="000000"/>
        </w:rPr>
        <w:t>широкой группы субстратов</w:t>
      </w:r>
      <w:r w:rsidR="007E6FC1" w:rsidRPr="005F02AB">
        <w:rPr>
          <w:color w:val="000000"/>
          <w:vertAlign w:val="superscript"/>
        </w:rPr>
        <w:t xml:space="preserve"> </w:t>
      </w:r>
      <w:r w:rsidR="007E6FC1" w:rsidRPr="005F02AB">
        <w:rPr>
          <w:color w:val="000000"/>
        </w:rPr>
        <w:t>[3]</w:t>
      </w:r>
      <w:r w:rsidR="0029447E" w:rsidRPr="005F02AB">
        <w:rPr>
          <w:color w:val="000000"/>
        </w:rPr>
        <w:t xml:space="preserve">. К тому же </w:t>
      </w:r>
      <w:r w:rsidR="0029447E" w:rsidRPr="005F02AB">
        <w:t>использование хлорсодержащих активирующих реагентов в данном случае сопр</w:t>
      </w:r>
      <w:r w:rsidR="00020AC0" w:rsidRPr="005F02AB">
        <w:t>яжено с некоторыми</w:t>
      </w:r>
      <w:r w:rsidR="0029447E" w:rsidRPr="005F02AB">
        <w:t xml:space="preserve"> недостатками, как</w:t>
      </w:r>
      <w:r w:rsidR="00A3216B" w:rsidRPr="005F02AB">
        <w:t>-</w:t>
      </w:r>
      <w:r w:rsidR="0029447E" w:rsidRPr="005F02AB">
        <w:t>то: необходимость проведения обеих стадий в инертной среде в связи со слабой стабильностью промежуточного 3-хлорфталида на воздухе, а также длительное суммарное время протекания реакции (около 24 ч)</w:t>
      </w:r>
      <w:r w:rsidR="00A3216B" w:rsidRPr="005F02AB">
        <w:t xml:space="preserve"> и др.</w:t>
      </w:r>
    </w:p>
    <w:p w:rsidR="0029447E" w:rsidRPr="005F02AB" w:rsidRDefault="0025518C" w:rsidP="00A321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5F02AB">
        <w:rPr>
          <w:noProof/>
        </w:rPr>
        <w:drawing>
          <wp:inline distT="0" distB="0" distL="0" distR="0">
            <wp:extent cx="5831840" cy="17334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73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7E" w:rsidRPr="005F02AB" w:rsidRDefault="0029447E" w:rsidP="006E2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5F02AB">
        <w:t xml:space="preserve">Схема 1. </w:t>
      </w:r>
      <w:r w:rsidR="007E6FC1" w:rsidRPr="005F02AB">
        <w:t>Сравнение литературного подхода и описанного в настоящей работе</w:t>
      </w:r>
    </w:p>
    <w:p w:rsidR="0025518C" w:rsidRPr="005F02AB" w:rsidRDefault="0025518C" w:rsidP="006E2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:rsidR="00A3216B" w:rsidRPr="005F02AB" w:rsidRDefault="00713A52" w:rsidP="00294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F02AB">
        <w:t xml:space="preserve">В данной работе изучен новый подход к синтезу 3-гидроксиизоиндолинонов </w:t>
      </w:r>
      <w:r w:rsidRPr="005F02AB">
        <w:rPr>
          <w:b/>
        </w:rPr>
        <w:t>3</w:t>
      </w:r>
      <w:r w:rsidRPr="005F02AB">
        <w:t xml:space="preserve">. </w:t>
      </w:r>
      <w:r w:rsidR="00A3216B" w:rsidRPr="005F02AB">
        <w:t xml:space="preserve">Все полученные соединения охарактеризованы комплексом физико-химических методов, </w:t>
      </w:r>
      <w:proofErr w:type="gramStart"/>
      <w:r w:rsidR="00A3216B" w:rsidRPr="005F02AB">
        <w:t>структуры</w:t>
      </w:r>
      <w:proofErr w:type="gramEnd"/>
      <w:r w:rsidR="00A3216B" w:rsidRPr="005F02AB">
        <w:t xml:space="preserve"> и геометрия некоторых подтверждены методом РСА.</w:t>
      </w:r>
    </w:p>
    <w:p w:rsidR="00A3216B" w:rsidRPr="005F02AB" w:rsidRDefault="00A3216B" w:rsidP="00294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130241" w:rsidRPr="005F02A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F02AB">
        <w:rPr>
          <w:b/>
          <w:color w:val="000000"/>
        </w:rPr>
        <w:t>Литература</w:t>
      </w:r>
    </w:p>
    <w:p w:rsidR="00B51D94" w:rsidRPr="005F02AB" w:rsidRDefault="00020AC0" w:rsidP="007E6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426"/>
        </w:tabs>
        <w:ind w:left="0" w:firstLine="0"/>
        <w:jc w:val="both"/>
        <w:rPr>
          <w:color w:val="000000"/>
          <w:lang w:val="en-US"/>
        </w:rPr>
      </w:pPr>
      <w:r w:rsidRPr="005F02AB">
        <w:rPr>
          <w:bCs/>
          <w:color w:val="000000"/>
          <w:lang w:val="en-US"/>
        </w:rPr>
        <w:t xml:space="preserve">Kavala V., Wang C-Y., Wang C-C., Patil P. B., Fang C., Kuo C-W., Yao C-F. // </w:t>
      </w:r>
      <w:r w:rsidRPr="005F02AB">
        <w:rPr>
          <w:bCs/>
          <w:i/>
          <w:color w:val="000000"/>
          <w:lang w:val="en-US"/>
        </w:rPr>
        <w:t xml:space="preserve">Org. </w:t>
      </w:r>
      <w:proofErr w:type="spellStart"/>
      <w:r w:rsidRPr="005F02AB">
        <w:rPr>
          <w:bCs/>
          <w:i/>
          <w:color w:val="000000"/>
          <w:lang w:val="en-US"/>
        </w:rPr>
        <w:t>Biomol</w:t>
      </w:r>
      <w:proofErr w:type="spellEnd"/>
      <w:r w:rsidRPr="005F02AB">
        <w:rPr>
          <w:bCs/>
          <w:i/>
          <w:color w:val="000000"/>
          <w:lang w:val="en-US"/>
        </w:rPr>
        <w:t>. Chem.</w:t>
      </w:r>
      <w:r w:rsidR="002B7F70" w:rsidRPr="005F02AB">
        <w:rPr>
          <w:bCs/>
          <w:color w:val="000000"/>
          <w:lang w:val="en-US"/>
        </w:rPr>
        <w:t xml:space="preserve"> </w:t>
      </w:r>
      <w:r w:rsidR="002B7F70" w:rsidRPr="005F02AB">
        <w:rPr>
          <w:b/>
          <w:color w:val="000000"/>
          <w:lang w:val="en-US"/>
        </w:rPr>
        <w:t>2020</w:t>
      </w:r>
      <w:r w:rsidR="002B7F70" w:rsidRPr="005F02AB">
        <w:rPr>
          <w:bCs/>
          <w:color w:val="000000"/>
          <w:lang w:val="en-US"/>
        </w:rPr>
        <w:t>. Vol. 18. P.</w:t>
      </w:r>
      <w:r w:rsidRPr="005F02AB">
        <w:rPr>
          <w:bCs/>
          <w:color w:val="000000"/>
          <w:lang w:val="en-US"/>
        </w:rPr>
        <w:t xml:space="preserve"> 988-998.</w:t>
      </w:r>
    </w:p>
    <w:p w:rsidR="00B51D94" w:rsidRPr="005F02AB" w:rsidRDefault="00020AC0" w:rsidP="007E6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426"/>
        </w:tabs>
        <w:ind w:left="0" w:firstLine="0"/>
        <w:jc w:val="both"/>
        <w:rPr>
          <w:color w:val="000000"/>
          <w:lang w:val="en-US"/>
        </w:rPr>
      </w:pPr>
      <w:proofErr w:type="spellStart"/>
      <w:r w:rsidRPr="005F02AB">
        <w:rPr>
          <w:bCs/>
          <w:color w:val="000000"/>
          <w:lang w:val="en-US"/>
        </w:rPr>
        <w:t>Chessari</w:t>
      </w:r>
      <w:proofErr w:type="spellEnd"/>
      <w:r w:rsidRPr="005F02AB">
        <w:rPr>
          <w:bCs/>
          <w:color w:val="000000"/>
          <w:lang w:val="en-US"/>
        </w:rPr>
        <w:t xml:space="preserve"> G., Hardcastle I.R. et al. // </w:t>
      </w:r>
      <w:r w:rsidR="002B7F70" w:rsidRPr="005F02AB">
        <w:rPr>
          <w:bCs/>
          <w:i/>
          <w:color w:val="000000"/>
          <w:lang w:val="en-US"/>
        </w:rPr>
        <w:t>J. Med. Chem.</w:t>
      </w:r>
      <w:r w:rsidR="002B7F70" w:rsidRPr="005F02AB">
        <w:rPr>
          <w:bCs/>
          <w:iCs/>
          <w:color w:val="000000"/>
          <w:lang w:val="en-US"/>
        </w:rPr>
        <w:t xml:space="preserve"> </w:t>
      </w:r>
      <w:r w:rsidR="002B7F70" w:rsidRPr="005F02AB">
        <w:rPr>
          <w:b/>
          <w:color w:val="000000"/>
          <w:lang w:val="en-US"/>
        </w:rPr>
        <w:t>2021</w:t>
      </w:r>
      <w:r w:rsidR="002B7F70" w:rsidRPr="005F02AB">
        <w:rPr>
          <w:bCs/>
          <w:color w:val="000000"/>
          <w:lang w:val="en-US"/>
        </w:rPr>
        <w:t>. Vol. 64. N. 7. P.</w:t>
      </w:r>
      <w:r w:rsidRPr="005F02AB">
        <w:rPr>
          <w:bCs/>
          <w:color w:val="000000"/>
          <w:lang w:val="en-US"/>
        </w:rPr>
        <w:t xml:space="preserve"> 4071</w:t>
      </w:r>
      <w:r w:rsidR="00A3216B" w:rsidRPr="005F02AB">
        <w:rPr>
          <w:bCs/>
          <w:color w:val="000000"/>
        </w:rPr>
        <w:t>-</w:t>
      </w:r>
      <w:r w:rsidRPr="005F02AB">
        <w:rPr>
          <w:bCs/>
          <w:color w:val="000000"/>
          <w:lang w:val="en-US"/>
        </w:rPr>
        <w:t>4088</w:t>
      </w:r>
      <w:r w:rsidR="002B7F70" w:rsidRPr="005F02AB">
        <w:rPr>
          <w:bCs/>
          <w:color w:val="000000"/>
          <w:lang w:val="en-US"/>
        </w:rPr>
        <w:t>.</w:t>
      </w:r>
    </w:p>
    <w:p w:rsidR="00116478" w:rsidRPr="005F02AB" w:rsidRDefault="00020AC0" w:rsidP="007E6F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426"/>
        </w:tabs>
        <w:ind w:left="0" w:firstLine="0"/>
        <w:jc w:val="both"/>
        <w:rPr>
          <w:color w:val="000000"/>
          <w:lang w:val="en-US"/>
        </w:rPr>
      </w:pPr>
      <w:r w:rsidRPr="005F02AB">
        <w:rPr>
          <w:bCs/>
          <w:color w:val="000000"/>
          <w:lang w:val="en-US"/>
        </w:rPr>
        <w:t>Nishio T., Yama</w:t>
      </w:r>
      <w:r w:rsidR="002B7F70" w:rsidRPr="005F02AB">
        <w:rPr>
          <w:bCs/>
          <w:color w:val="000000"/>
          <w:lang w:val="en-US"/>
        </w:rPr>
        <w:t xml:space="preserve">moto H. // </w:t>
      </w:r>
      <w:r w:rsidR="002B7F70" w:rsidRPr="005F02AB">
        <w:rPr>
          <w:bCs/>
          <w:i/>
          <w:iCs/>
          <w:color w:val="000000"/>
          <w:lang w:val="en-US"/>
        </w:rPr>
        <w:t xml:space="preserve">J. </w:t>
      </w:r>
      <w:proofErr w:type="spellStart"/>
      <w:r w:rsidR="002B7F70" w:rsidRPr="005F02AB">
        <w:rPr>
          <w:bCs/>
          <w:i/>
          <w:iCs/>
          <w:color w:val="000000"/>
          <w:lang w:val="en-US"/>
        </w:rPr>
        <w:t>Heterocycl</w:t>
      </w:r>
      <w:proofErr w:type="spellEnd"/>
      <w:r w:rsidR="002B7F70" w:rsidRPr="005F02AB">
        <w:rPr>
          <w:bCs/>
          <w:i/>
          <w:iCs/>
          <w:color w:val="000000"/>
          <w:lang w:val="en-US"/>
        </w:rPr>
        <w:t>. Chem.</w:t>
      </w:r>
      <w:r w:rsidR="002B7F70" w:rsidRPr="005F02AB">
        <w:rPr>
          <w:bCs/>
          <w:color w:val="000000"/>
          <w:lang w:val="en-US"/>
        </w:rPr>
        <w:t xml:space="preserve"> </w:t>
      </w:r>
      <w:r w:rsidR="002B7F70" w:rsidRPr="005F02AB">
        <w:rPr>
          <w:b/>
          <w:color w:val="000000"/>
          <w:lang w:val="en-US"/>
        </w:rPr>
        <w:t>1995</w:t>
      </w:r>
      <w:r w:rsidR="002B7F70" w:rsidRPr="005F02AB">
        <w:rPr>
          <w:bCs/>
          <w:color w:val="000000"/>
          <w:lang w:val="en-US"/>
        </w:rPr>
        <w:t>. Vol. 32. P.</w:t>
      </w:r>
      <w:r w:rsidRPr="005F02AB">
        <w:rPr>
          <w:bCs/>
          <w:color w:val="000000"/>
          <w:lang w:val="en-US"/>
        </w:rPr>
        <w:t xml:space="preserve"> 883-891</w:t>
      </w:r>
      <w:r w:rsidR="00816134" w:rsidRPr="005F02AB">
        <w:rPr>
          <w:bCs/>
          <w:color w:val="000000"/>
        </w:rPr>
        <w:t>.</w:t>
      </w:r>
    </w:p>
    <w:sectPr w:rsidR="00116478" w:rsidRPr="005F02AB" w:rsidSect="009E673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0D7"/>
    <w:multiLevelType w:val="hybridMultilevel"/>
    <w:tmpl w:val="305CB73C"/>
    <w:lvl w:ilvl="0" w:tplc="F6B2A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2D6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077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E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CB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20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1A9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C8B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014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F12971"/>
    <w:multiLevelType w:val="hybridMultilevel"/>
    <w:tmpl w:val="6960F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114FE"/>
    <w:rsid w:val="00020AC0"/>
    <w:rsid w:val="00063966"/>
    <w:rsid w:val="00086081"/>
    <w:rsid w:val="00101A1C"/>
    <w:rsid w:val="00106375"/>
    <w:rsid w:val="00116478"/>
    <w:rsid w:val="00130241"/>
    <w:rsid w:val="00145581"/>
    <w:rsid w:val="001E61C2"/>
    <w:rsid w:val="001F0493"/>
    <w:rsid w:val="002264EE"/>
    <w:rsid w:val="0023307C"/>
    <w:rsid w:val="0025518C"/>
    <w:rsid w:val="0029447E"/>
    <w:rsid w:val="002955E1"/>
    <w:rsid w:val="002B7F70"/>
    <w:rsid w:val="0031361E"/>
    <w:rsid w:val="00391C38"/>
    <w:rsid w:val="003B76D6"/>
    <w:rsid w:val="004A26A3"/>
    <w:rsid w:val="004F0EDF"/>
    <w:rsid w:val="00522BF1"/>
    <w:rsid w:val="00590166"/>
    <w:rsid w:val="005F02AB"/>
    <w:rsid w:val="0069427D"/>
    <w:rsid w:val="006E2C28"/>
    <w:rsid w:val="006F7A19"/>
    <w:rsid w:val="00713A52"/>
    <w:rsid w:val="00775389"/>
    <w:rsid w:val="00797838"/>
    <w:rsid w:val="007C36D8"/>
    <w:rsid w:val="007E6FC1"/>
    <w:rsid w:val="007F2744"/>
    <w:rsid w:val="00816134"/>
    <w:rsid w:val="008931BE"/>
    <w:rsid w:val="00921D45"/>
    <w:rsid w:val="009A66DB"/>
    <w:rsid w:val="009B2F80"/>
    <w:rsid w:val="009B3300"/>
    <w:rsid w:val="009E673F"/>
    <w:rsid w:val="009F3380"/>
    <w:rsid w:val="00A02163"/>
    <w:rsid w:val="00A314FE"/>
    <w:rsid w:val="00A3216B"/>
    <w:rsid w:val="00B51D94"/>
    <w:rsid w:val="00BF36F8"/>
    <w:rsid w:val="00BF4622"/>
    <w:rsid w:val="00C6701A"/>
    <w:rsid w:val="00CD00B1"/>
    <w:rsid w:val="00D22306"/>
    <w:rsid w:val="00D42542"/>
    <w:rsid w:val="00D8121C"/>
    <w:rsid w:val="00E22189"/>
    <w:rsid w:val="00E25F1B"/>
    <w:rsid w:val="00E61A62"/>
    <w:rsid w:val="00E74069"/>
    <w:rsid w:val="00EB1F49"/>
    <w:rsid w:val="00EE75D6"/>
    <w:rsid w:val="00F72C6A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E67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E67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E67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E67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E67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E67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E67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E67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E67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3216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670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70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072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6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5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54885-6C63-4404-94A4-1D3BC9D7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Windows User</cp:lastModifiedBy>
  <cp:revision>7</cp:revision>
  <dcterms:created xsi:type="dcterms:W3CDTF">2023-02-22T11:20:00Z</dcterms:created>
  <dcterms:modified xsi:type="dcterms:W3CDTF">2023-03-15T13:30:00Z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