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Bdr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between w:val="none" w:sz="0" w:space="0" w:shadow="0" w:frame="0" w:color="auto"/>
        </w:pBdr>
        <w:shd w:val="clear" w:fill="FFFFFF"/>
        <w:jc w:val="center"/>
      </w:pPr>
      <w:r>
        <w:rPr>
          <w:b w:val="1"/>
          <w:bCs w:val="1"/>
          <w:color w:val="000000"/>
        </w:rPr>
        <w:t xml:space="preserve">Новый подход к синтезу биологически активных соединений ряда </w:t>
      </w:r>
      <w:r>
        <w:rPr>
          <w:b w:val="1"/>
          <w:bCs w:val="1"/>
          <w:color w:val="000000"/>
          <w:lang w:val="en-US"/>
        </w:rPr>
        <w:t>N</w:t>
      </w:r>
      <w:r>
        <w:rPr>
          <w:b w:val="1"/>
          <w:bCs w:val="1"/>
          <w:color w:val="000000"/>
        </w:rPr>
        <w:t>-гидроксибутанамидов</w:t>
      </w:r>
    </w:p>
    <w:p>
      <w:pPr>
        <w:pBdr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between w:val="none" w:sz="0" w:space="0" w:shadow="0" w:frame="0" w:color="auto"/>
        </w:pBdr>
        <w:shd w:val="clear" w:fill="FFFFFF"/>
        <w:jc w:val="center"/>
      </w:pPr>
      <w:r>
        <w:rPr>
          <w:b w:val="1"/>
          <w:i w:val="1"/>
          <w:bCs w:val="1"/>
          <w:iCs w:val="1"/>
          <w:color w:val="000000"/>
        </w:rPr>
        <w:t>Третьяков Б.А., Гадомский С.Я.</w:t>
      </w:r>
    </w:p>
    <w:p>
      <w:pPr>
        <w:pBdr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between w:val="none" w:sz="0" w:space="0" w:shadow="0" w:frame="0" w:color="auto"/>
        </w:pBdr>
        <w:shd w:val="clear" w:fill="FFFFFF"/>
        <w:jc w:val="center"/>
      </w:pPr>
      <w:r>
        <w:rPr>
          <w:i w:val="1"/>
          <w:iCs w:val="1"/>
          <w:color w:val="000000"/>
        </w:rPr>
        <w:t>Аспирант, 1 год обучения</w:t>
      </w:r>
    </w:p>
    <w:p>
      <w:pPr>
        <w:pBdr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between w:val="none" w:sz="0" w:space="0" w:shadow="0" w:frame="0" w:color="auto"/>
        </w:pBdr>
        <w:shd w:val="clear" w:fill="FFFFFF"/>
        <w:jc w:val="center"/>
      </w:pPr>
      <w:r>
        <w:rPr>
          <w:i w:val="1"/>
          <w:iCs w:val="1"/>
          <w:color w:val="000000"/>
        </w:rPr>
        <w:t>ФИЦ проблем химической физики и медицинской химии РАН</w:t>
        <w:br w:type="textWrapping"/>
        <w:t>Черноголовка, Россия</w:t>
      </w:r>
    </w:p>
    <w:p>
      <w:pPr>
        <w:pBdr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between w:val="none" w:sz="0" w:space="0" w:shadow="0" w:frame="0" w:color="auto"/>
        </w:pBdr>
        <w:shd w:val="clear" w:fill="FFFFFF"/>
        <w:jc w:val="center"/>
      </w:pPr>
      <w:r>
        <w:rPr>
          <w:i w:val="1"/>
          <w:iCs w:val="1"/>
          <w:color w:val="000000"/>
        </w:rPr>
        <w:t xml:space="preserve">E-mail: </w:t>
      </w:r>
      <w:r>
        <w:rPr>
          <w:i w:val="1"/>
          <w:iCs w:val="1"/>
          <w:color w:val="000000"/>
          <w:u w:val="single"/>
        </w:rPr>
        <w:t>tretyakovba1</w:t>
      </w:r>
      <w:hyperlink xmlns:r="http://schemas.openxmlformats.org/officeDocument/2006/relationships" r:id="R2">
        <w:r>
          <w:rPr>
            <w:rStyle w:val="C6"/>
          </w:rPr>
          <w:t>@</w:t>
        </w:r>
      </w:hyperlink>
      <w:hyperlink xmlns:r="http://schemas.openxmlformats.org/officeDocument/2006/relationships" r:id="R3">
        <w:r>
          <w:rPr>
            <w:rStyle w:val="C6"/>
            <w:lang w:val="en-US"/>
          </w:rPr>
          <w:t>gm</w:t>
        </w:r>
      </w:hyperlink>
      <w:hyperlink xmlns:r="http://schemas.openxmlformats.org/officeDocument/2006/relationships" r:id="R4">
        <w:r>
          <w:rPr>
            <w:rStyle w:val="C6"/>
            <w:lang w:val="en-US"/>
          </w:rPr>
          <w:t>a</w:t>
        </w:r>
      </w:hyperlink>
      <w:hyperlink xmlns:r="http://schemas.openxmlformats.org/officeDocument/2006/relationships" r:id="R5">
        <w:r>
          <w:rPr>
            <w:rStyle w:val="C6"/>
            <w:lang w:val="en-US"/>
          </w:rPr>
          <w:t>il</w:t>
        </w:r>
      </w:hyperlink>
      <w:hyperlink xmlns:r="http://schemas.openxmlformats.org/officeDocument/2006/relationships" r:id="R6">
        <w:r>
          <w:rPr>
            <w:rStyle w:val="C6"/>
          </w:rPr>
          <w:t>.</w:t>
        </w:r>
      </w:hyperlink>
      <w:r>
        <w:rPr>
          <w:u w:val="single"/>
          <w:lang w:val="en-US"/>
        </w:rPr>
        <w:t>com</w:t>
      </w:r>
      <w:r>
        <w:rPr>
          <w:i w:val="1"/>
          <w:iCs w:val="1"/>
          <w:color w:val="000000"/>
        </w:rPr>
        <w:t xml:space="preserve"> </w:t>
      </w:r>
    </w:p>
    <w:p>
      <w:pPr>
        <w:pBdr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between w:val="none" w:sz="0" w:space="0" w:shadow="0" w:frame="0" w:color="auto"/>
        </w:pBdr>
        <w:shd w:val="clear" w:fill="FFFFFF"/>
        <w:ind w:firstLine="397"/>
        <w:jc w:val="both"/>
      </w:pPr>
      <w:r>
        <w:rPr>
          <w:color w:val="000000"/>
        </w:rPr>
        <w:t xml:space="preserve">Гидроксамовые кислоты являются перспективным классом органических соединений для создания лекарственных препаратов, действующих на множество терапевтических мишений, главным образом на семейство ферментов гистондеацетилаз и матриксных металлопротеиназ в лечении онкологических, нейродегенеративных и аутоиммунных заболеваний [1]. При изменении структуры малой молекулы возможно изменение селективности действия по отношению к тому или иному ферменту, а также изоформоспецифическому ингибированию </w:t>
      </w:r>
      <w:r>
        <w:rPr>
          <w:color w:val="000000"/>
          <w:rtl w:val="0"/>
          <w:lang w:val="ru-RU" w:bidi="ru-RU" w:eastAsia="ru-RU"/>
        </w:rPr>
        <w:t>отдельного</w:t>
      </w:r>
      <w:r>
        <w:rPr>
          <w:color w:val="000000"/>
        </w:rPr>
        <w:t xml:space="preserve"> фермента. Классическими методами синтеза гидроксамовых кислот являются </w:t>
      </w:r>
      <w:r>
        <w:rPr>
          <w:color w:val="000000"/>
          <w:rtl w:val="0"/>
          <w:lang w:val="ru-RU" w:bidi="ru-RU" w:eastAsia="ru-RU"/>
        </w:rPr>
        <w:t>превращения</w:t>
      </w:r>
      <w:r>
        <w:rPr>
          <w:color w:val="000000"/>
        </w:rPr>
        <w:t xml:space="preserve"> хлорангидридов карбоновых кислот или сложных эфиров под действием гидроксиламина в </w:t>
      </w:r>
      <w:r>
        <w:rPr>
          <w:color w:val="000000"/>
          <w:lang w:val="en-US"/>
        </w:rPr>
        <w:t>N</w:t>
      </w:r>
      <w:r>
        <w:rPr>
          <w:color w:val="000000"/>
        </w:rPr>
        <w:t>-гидроксиамиды (гидроксамовые кислоты), однако такой способ синтеза сопряжен с рядом трудностей. Получение и выделение из реакционной смеси хлорангидридов карбоновых кислот представляет собой в ряде случаев трудную задачу, а использование сложных эфиров подразумевает введение в реакционную смесь основания (</w:t>
      </w:r>
      <w:r>
        <w:rPr>
          <w:color w:val="000000"/>
          <w:lang w:val="en-US"/>
        </w:rPr>
        <w:t>pH</w:t>
      </w:r>
      <w:r>
        <w:rPr>
          <w:color w:val="000000"/>
        </w:rPr>
        <w:t xml:space="preserve"> = 10), что приводит к гидролизу сложного эфира [2], а также к перегруппировке Лоссена [3].</w:t>
      </w:r>
    </w:p>
    <w:p>
      <w:pPr>
        <w:pBdr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between w:val="none" w:sz="0" w:space="0" w:shadow="0" w:frame="0" w:color="auto"/>
        </w:pBdr>
        <w:shd w:val="clear" w:fill="FFFFFF"/>
        <w:ind w:firstLine="397"/>
        <w:jc w:val="both"/>
      </w:pPr>
      <w:r>
        <w:rPr>
          <w:color w:val="000000"/>
        </w:rPr>
        <w:t xml:space="preserve">Для скрининга новых малых молекул в рамках медицинской химии метод получения биологически активных соединений должен минимизировать трудоемкость их получения, а также приводить к большому структурному разнообразию. Для создания новых высокоэффективных лекарственных препаратов, в настоящее время, широко используются компьютерные методы, позволяющие получить фармакофорную модель активного соединения (в том числе для ингибиторов гистондеацетилаз) [4]. Данная модель включает 3 главных фармакофорных функции: ароматический </w:t>
      </w:r>
      <w:r>
        <w:rPr>
          <w:color w:val="000000"/>
          <w:lang w:val="en-US"/>
        </w:rPr>
        <w:t>cap</w:t>
      </w:r>
      <w:r>
        <w:rPr>
          <w:color w:val="000000"/>
        </w:rPr>
        <w:t xml:space="preserve">-фрагмент, гидрофобный линкер и цинк-связывающий фрагмент (гидроксамовая группа). Нами был предложен метод получения гидроксамовых кислот в рамках фармакофорной модели на основе аминов и карбоновых кислот, что позволяет разнообразить спектр исследуемых малых молекул при скрининге. Ключевая стадия получения гидроксамовых кислот заключается в раскрытии сукцинимидного цикла водным раствором гидроксиламина. При этом реакция протекает с высокой скоростью (от нескольких минут до часов) и с минимальным содержанием примесей (в зависимости от способа генерации раствора гидроксиламина). Таким способом был синтезирован ряд гидроксамовых кислот на основе аминов (5 соединений) и карбоновых кислот (10 соединений), ранее не описанных в литературе. </w:t>
      </w:r>
    </w:p>
    <w:p>
      <w:pPr>
        <w:pBdr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between w:val="none" w:sz="0" w:space="0" w:shadow="0" w:frame="0" w:color="auto"/>
        </w:pBdr>
        <w:shd w:val="clear" w:fill="FFFFFF"/>
        <w:ind w:firstLine="397"/>
        <w:jc w:val="both"/>
      </w:pPr>
      <w:r>
        <w:rPr>
          <w:i w:val="1"/>
          <w:iCs w:val="1"/>
          <w:color w:val="000000"/>
        </w:rPr>
        <w:t>Работа поддержана грантом РФФИ 20-03-00950а и осуществляется в рамках госзадания по тем.карте № 0089-2019-0014.</w:t>
      </w:r>
    </w:p>
    <w:p>
      <w:pPr>
        <w:pBdr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between w:val="none" w:sz="0" w:space="0" w:shadow="0" w:frame="0" w:color="auto"/>
        </w:pBdr>
        <w:shd w:val="clear" w:fill="FFFFFF"/>
        <w:jc w:val="center"/>
        <w:rPr>
          <w:lang w:val="en-US"/>
        </w:rPr>
      </w:pPr>
      <w:r>
        <w:rPr>
          <w:b w:val="1"/>
          <w:bCs w:val="1"/>
          <w:color w:val="000000"/>
        </w:rPr>
        <w:t>Литература</w:t>
      </w:r>
    </w:p>
    <w:p>
      <w:pPr>
        <w:pBdr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between w:val="none" w:sz="0" w:space="0" w:shadow="0" w:frame="0" w:color="auto"/>
        </w:pBdr>
        <w:shd w:val="clear" w:fill="FFFFFF"/>
        <w:jc w:val="both"/>
        <w:rPr>
          <w:color w:val="000000"/>
          <w:lang w:val="en-US"/>
        </w:rPr>
      </w:pPr>
    </w:p>
    <w:p>
      <w:pPr>
        <w:pBdr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between w:val="none" w:sz="0" w:space="0" w:shadow="0" w:frame="0" w:color="auto"/>
        </w:pBdr>
        <w:shd w:val="clear" w:fill="FFFFFF"/>
        <w:jc w:val="both"/>
        <w:rPr>
          <w:lang w:val="en-US"/>
        </w:rPr>
      </w:pPr>
      <w:r>
        <w:rPr>
          <w:color w:val="000000"/>
          <w:lang w:val="en-US"/>
        </w:rPr>
        <w:t>1. De Vreese R., Van Steen N., Verhaeghe T., et al. (2015). Synthesis of benzothiophene-based hydroxamic acids as potent and selective HDAC6 inhibitors // Chem. Commun. 2015. Vol. 51. P. 9868–9871.</w:t>
      </w:r>
    </w:p>
    <w:p>
      <w:pPr>
        <w:pBdr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between w:val="none" w:sz="0" w:space="0" w:shadow="0" w:frame="0" w:color="auto"/>
        </w:pBdr>
        <w:shd w:val="clear" w:fill="FFFFFF"/>
        <w:jc w:val="both"/>
        <w:rPr>
          <w:lang w:val="en-US"/>
        </w:rPr>
      </w:pPr>
      <w:r>
        <w:rPr>
          <w:color w:val="000000"/>
          <w:lang w:val="en-US"/>
        </w:rPr>
        <w:t>2. Reddy A. S., Kumar M. S., Reddy G. R. A convenient method for the preparation of hydroxamic acids // Tetrahedron Lett. 2000. Vol. 41. P. 6285–6288.</w:t>
      </w:r>
    </w:p>
    <w:p>
      <w:pPr>
        <w:pBdr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between w:val="none" w:sz="0" w:space="0" w:shadow="0" w:frame="0" w:color="auto"/>
        </w:pBdr>
        <w:shd w:val="clear" w:fill="FFFFFF"/>
        <w:jc w:val="both"/>
        <w:rPr>
          <w:lang w:val="en-US"/>
        </w:rPr>
      </w:pPr>
      <w:r>
        <w:rPr>
          <w:color w:val="000000"/>
          <w:lang w:val="en-US"/>
        </w:rPr>
        <w:t>3. Thomas M., Alsarraf J., Araji N., et al. The Lossen rearrangement from free hydroxamic acids // Org. Biomol. Chem. 2019. Vol. 17. P. 5420-5427.</w:t>
      </w:r>
    </w:p>
    <w:p>
      <w:pPr>
        <w:pBdr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between w:val="none" w:sz="0" w:space="0" w:shadow="0" w:frame="0" w:color="auto"/>
        </w:pBdr>
        <w:shd w:val="clear" w:fill="FFFFFF"/>
        <w:jc w:val="both"/>
      </w:pPr>
      <w:r>
        <w:rPr>
          <w:color w:val="000000"/>
          <w:lang w:val="en-US"/>
        </w:rPr>
        <w:t>4. Sundarapandian T., Shalini J., Sugunadevi S., Woo L. K. Docking-enabled pharmacophore model for histone deacetylase 8 inhibitors and its application in anti-cancer drug discovery // J. Mol. Graph. Model. 2010. Vol. 29. P. 382–395.</w:t>
      </w:r>
    </w:p>
    <w:sectPr>
      <w:type w:val="nextPage"/>
      <w:pgSz w:w="11906" w:h="16838" w:code="0"/>
      <w:pgMar w:left="1361" w:right="1361" w:top="1134" w:bottom="1134" w:header="708" w:footer="708" w:gutter="0"/>
      <w:pgNumType w:start="1" w:chapSep="period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pStyle w:val="P1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1">
      <w:start w:val="1"/>
      <w:numFmt w:val="none"/>
      <w:pStyle w:val="P2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2">
      <w:start w:val="1"/>
      <w:numFmt w:val="none"/>
      <w:pStyle w:val="P3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3">
      <w:start w:val="1"/>
      <w:numFmt w:val="none"/>
      <w:pStyle w:val="P4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4">
      <w:start w:val="1"/>
      <w:numFmt w:val="none"/>
      <w:pStyle w:val="P5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5">
      <w:start w:val="1"/>
      <w:numFmt w:val="none"/>
      <w:pStyle w:val="P6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sz w:val="20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uppressAutoHyphens w:val="1"/>
    </w:pPr>
    <w:rPr>
      <w:sz w:val="24"/>
      <w:szCs w:val="24"/>
    </w:rPr>
  </w:style>
  <w:style w:type="paragraph" w:styleId="P1">
    <w:name w:val="Heading 1"/>
    <w:basedOn w:val="P0"/>
    <w:next w:val="P0"/>
    <w:qFormat/>
    <w:pPr>
      <w:keepNext w:val="1"/>
      <w:keepLines w:val="1"/>
      <w:numPr>
        <w:numId w:val="1"/>
      </w:numPr>
      <w:spacing w:before="480" w:after="120" w:beforeAutospacing="0" w:afterAutospacing="0"/>
      <w:outlineLvl w:val="0"/>
    </w:pPr>
    <w:rPr>
      <w:b w:val="1"/>
      <w:bCs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numPr>
        <w:ilvl w:val="1"/>
        <w:numId w:val="1"/>
      </w:numPr>
      <w:spacing w:before="360" w:after="80" w:beforeAutospacing="0" w:afterAutospacing="0"/>
      <w:outlineLvl w:val="1"/>
    </w:pPr>
    <w:rPr>
      <w:b w:val="1"/>
      <w:bCs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numPr>
        <w:ilvl w:val="2"/>
        <w:numId w:val="1"/>
      </w:numPr>
      <w:spacing w:before="280" w:after="80" w:beforeAutospacing="0" w:afterAutospacing="0"/>
      <w:outlineLvl w:val="2"/>
    </w:pPr>
    <w:rPr>
      <w:b w:val="1"/>
      <w:bCs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numPr>
        <w:ilvl w:val="3"/>
        <w:numId w:val="1"/>
      </w:numPr>
      <w:spacing w:before="240" w:after="40" w:beforeAutospacing="0" w:afterAutospacing="0"/>
      <w:outlineLvl w:val="3"/>
    </w:pPr>
    <w:rPr>
      <w:b w:val="1"/>
      <w:bCs w:val="1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numPr>
        <w:ilvl w:val="4"/>
        <w:numId w:val="1"/>
      </w:numPr>
      <w:spacing w:before="220" w:after="40" w:beforeAutospacing="0" w:afterAutospacing="0"/>
      <w:outlineLvl w:val="4"/>
    </w:pPr>
    <w:rPr>
      <w:b w:val="1"/>
      <w:bCs w:val="1"/>
      <w:sz w:val="22"/>
      <w:szCs w:val="22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numPr>
        <w:ilvl w:val="5"/>
        <w:numId w:val="1"/>
      </w:numPr>
      <w:spacing w:before="200" w:after="40" w:beforeAutospacing="0" w:afterAutospacing="0"/>
      <w:outlineLvl w:val="5"/>
    </w:pPr>
    <w:rPr>
      <w:b w:val="1"/>
      <w:bCs w:val="1"/>
      <w:sz w:val="20"/>
      <w:szCs w:val="20"/>
    </w:rPr>
  </w:style>
  <w:style w:type="paragraph" w:styleId="P7">
    <w:name w:val="No Spacing"/>
    <w:pPr>
      <w:suppressAutoHyphens w:val="1"/>
    </w:pPr>
    <w:rPr>
      <w:rFonts w:ascii="Calibri" w:hAnsi="Calibri" w:cs="Calibri" w:eastAsia="Calibri"/>
      <w:sz w:val="22"/>
      <w:szCs w:val="22"/>
      <w:lang w:val="en-US"/>
    </w:rPr>
  </w:style>
  <w:style w:type="paragraph" w:styleId="P8">
    <w:name w:val="Title"/>
    <w:basedOn w:val="P0"/>
    <w:next w:val="P9"/>
    <w:qFormat/>
    <w:pPr>
      <w:keepNext w:val="1"/>
      <w:keepLines w:val="1"/>
      <w:spacing w:before="480" w:after="120" w:beforeAutospacing="0" w:afterAutospacing="0"/>
    </w:pPr>
    <w:rPr>
      <w:b w:val="1"/>
      <w:bCs w:val="1"/>
      <w:sz w:val="72"/>
      <w:szCs w:val="72"/>
    </w:rPr>
  </w:style>
  <w:style w:type="paragraph" w:styleId="P9">
    <w:name w:val="Body Text"/>
    <w:basedOn w:val="P0"/>
    <w:pPr>
      <w:spacing w:lineRule="auto" w:line="276" w:after="140" w:beforeAutospacing="0" w:afterAutospacing="0"/>
    </w:pPr>
    <w:rPr/>
  </w:style>
  <w:style w:type="paragraph" w:styleId="P10">
    <w:name w:val="Caption"/>
    <w:basedOn w:val="P0"/>
    <w:pPr>
      <w:suppressLineNumbers w:val="1"/>
      <w:spacing w:before="120" w:after="120" w:beforeAutospacing="0" w:afterAutospacing="0"/>
    </w:pPr>
    <w:rPr>
      <w:i w:val="1"/>
      <w:iCs w:val="1"/>
    </w:rPr>
  </w:style>
  <w:style w:type="paragraph" w:styleId="P11">
    <w:name w:val="Index Heading"/>
    <w:basedOn w:val="P0"/>
    <w:pPr>
      <w:suppressLineNumbers w:val="1"/>
    </w:pPr>
    <w:rPr/>
  </w:style>
  <w:style w:type="paragraph" w:styleId="P12">
    <w:name w:val="Subtitle"/>
    <w:basedOn w:val="P0"/>
    <w:next w:val="P0"/>
    <w:qFormat/>
    <w:pPr>
      <w:keepNext w:val="1"/>
      <w:keepLines w:val="1"/>
      <w:spacing w:before="360" w:after="80" w:beforeAutospacing="0" w:afterAutospacing="0"/>
    </w:pPr>
    <w:rPr>
      <w:rFonts w:ascii="Georgia" w:hAnsi="Georgia" w:cs="Georgia" w:eastAsia="Georgia"/>
      <w:i w:val="1"/>
      <w:iCs w:val="1"/>
      <w:color w:val="666666"/>
      <w:sz w:val="48"/>
      <w:szCs w:val="48"/>
    </w:rPr>
  </w:style>
  <w:style w:type="paragraph" w:styleId="P13">
    <w:name w:val="List Paragraph"/>
    <w:basedOn w:val="P0"/>
    <w:pPr>
      <w:ind w:left="720"/>
      <w:contextualSpacing w:val="1"/>
    </w:pPr>
    <w:rPr/>
  </w:style>
  <w:style w:type="paragraph" w:styleId="P14">
    <w:name w:val="List"/>
    <w:basedOn w:val="P9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ListLabel 1"/>
    <w:rPr>
      <w:rFonts w:cs="Times New Roman"/>
    </w:rPr>
  </w:style>
  <w:style w:type="character" w:styleId="C4">
    <w:name w:val="ListLabel 2"/>
    <w:rPr>
      <w:rFonts w:cs="Times New Roman"/>
    </w:rPr>
  </w:style>
  <w:style w:type="character" w:styleId="C5">
    <w:name w:val="ListLabel 3"/>
    <w:rPr>
      <w:rFonts w:cs="Times New Roman"/>
    </w:rPr>
  </w:style>
  <w:style w:type="character" w:styleId="C6">
    <w:name w:val="ListLabel 4"/>
    <w:rPr>
      <w:i w:val="1"/>
      <w:iCs w:val="1"/>
      <w:color w:val="000000"/>
      <w:u w:val="single"/>
    </w:rPr>
  </w:style>
  <w:style w:type="character" w:styleId="C7">
    <w:name w:val="Placeholder Text1"/>
    <w:basedOn w:val="C0"/>
    <w:rPr>
      <w:color w:val="808080"/>
    </w:rPr>
  </w:style>
  <w:style w:type="character" w:styleId="C8">
    <w:name w:val="Unresolved Mention1"/>
    <w:basedOn w:val="C0"/>
    <w:rPr>
      <w:color w:val="605E5C"/>
      <w:highlight w:val="lightGray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mailto:ivanov@yandex.ru" TargetMode="External" /><Relationship Id="R3" Type="http://schemas.openxmlformats.org/officeDocument/2006/relationships/hyperlink" Target="mailto:ivanov@yandex.ru" TargetMode="External" /><Relationship Id="R4" Type="http://schemas.openxmlformats.org/officeDocument/2006/relationships/hyperlink" Target="mailto:ivanov@yandex.ru" TargetMode="External" /><Relationship Id="R5" Type="http://schemas.openxmlformats.org/officeDocument/2006/relationships/hyperlink" Target="mailto:ivanov@yandex.ru" TargetMode="External" /><Relationship Id="R6" Type="http://schemas.openxmlformats.org/officeDocument/2006/relationships/hyperlink" Target="mailto:ivanov@yandex.ru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API/22.1.4.0</Application>
  <AppVersion>22.1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Bogdan</dc:creator>
  <dcterms:created xsi:type="dcterms:W3CDTF">2023-03-16T05:27:00Z</dcterms:created>
  <cp:lastPrinted>1995-11-21T14:41:00Z</cp:lastPrinted>
  <dcterms:modified xsi:type="dcterms:W3CDTF">2023-03-16T05:33:49Z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Company">
    <vt:lpwstr>Lomonosov MSU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ndeley Citation Style_1">
    <vt:lpwstr>http://www.zotero.org/styles/gost-r-7-0-5-2008-numeric</vt:lpwstr>
  </property>
  <property fmtid="{D5CDD505-2E9C-101B-9397-08002B2CF9AE}" pid="8" name="Mendeley Document_1">
    <vt:lpwstr>True</vt:lpwstr>
  </property>
  <property fmtid="{D5CDD505-2E9C-101B-9397-08002B2CF9AE}" pid="9" name="Mendeley Recent Style Id 0_1">
    <vt:lpwstr>http://www.zotero.org/styles/chicago-author-date</vt:lpwstr>
  </property>
  <property fmtid="{D5CDD505-2E9C-101B-9397-08002B2CF9AE}" pid="10" name="Mendeley Recent Style Id 1_1">
    <vt:lpwstr>http://www.zotero.org/styles/harvard-cite-them-right</vt:lpwstr>
  </property>
  <property fmtid="{D5CDD505-2E9C-101B-9397-08002B2CF9AE}" pid="11" name="Mendeley Recent Style Id 2_1">
    <vt:lpwstr>http://www.zotero.org/styles/ieee</vt:lpwstr>
  </property>
  <property fmtid="{D5CDD505-2E9C-101B-9397-08002B2CF9AE}" pid="12" name="Mendeley Recent Style Id 3_1">
    <vt:lpwstr>http://www.zotero.org/styles/modern-humanities-research-association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Id 5_1">
    <vt:lpwstr>http://www.zotero.org/styles/nature</vt:lpwstr>
  </property>
  <property fmtid="{D5CDD505-2E9C-101B-9397-08002B2CF9AE}" pid="15" name="Mendeley Recent Style Id 6_1">
    <vt:lpwstr>http://www.zotero.org/styles/russian-chemical-reviews</vt:lpwstr>
  </property>
  <property fmtid="{D5CDD505-2E9C-101B-9397-08002B2CF9AE}" pid="16" name="Mendeley Recent Style Id 7_1">
    <vt:lpwstr>http://www.zotero.org/styles/gost-r-7-0-5-2008</vt:lpwstr>
  </property>
  <property fmtid="{D5CDD505-2E9C-101B-9397-08002B2CF9AE}" pid="17" name="Mendeley Recent Style Id 8_1">
    <vt:lpwstr>http://www.zotero.org/styles/gost-r-7-0-5-2008-numeric</vt:lpwstr>
  </property>
  <property fmtid="{D5CDD505-2E9C-101B-9397-08002B2CF9AE}" pid="18" name="Mendeley Recent Style Id 9_1">
    <vt:lpwstr>http://csl.mendeley.com/styles/7762213/gost-r-7-0-5-2008-numeric-3</vt:lpwstr>
  </property>
  <property fmtid="{D5CDD505-2E9C-101B-9397-08002B2CF9AE}" pid="19" name="Mendeley Recent Style Name 0_1">
    <vt:lpwstr>Chicago Manual of Style 17th edition (author-date)</vt:lpwstr>
  </property>
  <property fmtid="{D5CDD505-2E9C-101B-9397-08002B2CF9AE}" pid="20" name="Mendeley Recent Style Name 1_1">
    <vt:lpwstr>Cite Them Right 10th edition - Harvard</vt:lpwstr>
  </property>
  <property fmtid="{D5CDD505-2E9C-101B-9397-08002B2CF9AE}" pid="21" name="Mendeley Recent Style Name 2_1">
    <vt:lpwstr>IEEE</vt:lpwstr>
  </property>
  <property fmtid="{D5CDD505-2E9C-101B-9397-08002B2CF9AE}" pid="22" name="Mendeley Recent Style Name 3_1">
    <vt:lpwstr>Modern Humanities Research Association 3rd edition (note with bibliography)</vt:lpwstr>
  </property>
  <property fmtid="{D5CDD505-2E9C-101B-9397-08002B2CF9AE}" pid="23" name="Mendeley Recent Style Name 4_1">
    <vt:lpwstr>Modern Language Association 8th edition</vt:lpwstr>
  </property>
  <property fmtid="{D5CDD505-2E9C-101B-9397-08002B2CF9AE}" pid="24" name="Mendeley Recent Style Name 5_1">
    <vt:lpwstr>Nature</vt:lpwstr>
  </property>
  <property fmtid="{D5CDD505-2E9C-101B-9397-08002B2CF9AE}" pid="25" name="Mendeley Recent Style Name 6_1">
    <vt:lpwstr>Russian Chemical Reviews</vt:lpwstr>
  </property>
  <property fmtid="{D5CDD505-2E9C-101B-9397-08002B2CF9AE}" pid="26" name="Mendeley Recent Style Name 7_1">
    <vt:lpwstr>Russian GOST R 7.0.5-2008 (Russian)</vt:lpwstr>
  </property>
  <property fmtid="{D5CDD505-2E9C-101B-9397-08002B2CF9AE}" pid="27" name="Mendeley Recent Style Name 8_1">
    <vt:lpwstr>Russian GOST R 7.0.5-2008 (numeric)</vt:lpwstr>
  </property>
  <property fmtid="{D5CDD505-2E9C-101B-9397-08002B2CF9AE}" pid="28" name="Mendeley Recent Style Name 9_1">
    <vt:lpwstr>Russian GOST R 7.0.5-2008 (numeric) - Alexander Dzuban</vt:lpwstr>
  </property>
  <property fmtid="{D5CDD505-2E9C-101B-9397-08002B2CF9AE}" pid="29" name="Mendeley Unique User Id_1">
    <vt:lpwstr>b09b180f-15e6-39a8-8e02-e401af1d2283</vt:lpwstr>
  </property>
  <property fmtid="{D5CDD505-2E9C-101B-9397-08002B2CF9AE}" pid="30" name="ScaleCrop">
    <vt:bool>false</vt:bool>
  </property>
  <property fmtid="{D5CDD505-2E9C-101B-9397-08002B2CF9AE}" pid="31" name="ShareDoc">
    <vt:bool>false</vt:bool>
  </property>
</Properties>
</file>