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B1D18AA" w:rsidR="00130241" w:rsidRDefault="00E461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4619B">
        <w:rPr>
          <w:b/>
          <w:color w:val="000000"/>
        </w:rPr>
        <w:t>Металл</w:t>
      </w:r>
      <w:r w:rsidR="00DB79F7">
        <w:rPr>
          <w:b/>
          <w:color w:val="000000"/>
        </w:rPr>
        <w:t>о</w:t>
      </w:r>
      <w:r w:rsidRPr="00E4619B">
        <w:rPr>
          <w:b/>
          <w:color w:val="000000"/>
        </w:rPr>
        <w:t>-</w:t>
      </w:r>
      <w:r w:rsidRPr="00DB79F7">
        <w:rPr>
          <w:b/>
          <w:i/>
          <w:iCs/>
          <w:color w:val="000000"/>
        </w:rPr>
        <w:t>N</w:t>
      </w:r>
      <w:r w:rsidRPr="00E4619B">
        <w:rPr>
          <w:b/>
          <w:color w:val="000000"/>
        </w:rPr>
        <w:t xml:space="preserve">-гетероциклические </w:t>
      </w:r>
      <w:proofErr w:type="spellStart"/>
      <w:r w:rsidRPr="00E4619B">
        <w:rPr>
          <w:b/>
          <w:color w:val="000000"/>
        </w:rPr>
        <w:t>карбеновые</w:t>
      </w:r>
      <w:proofErr w:type="spellEnd"/>
      <w:r w:rsidRPr="00E4619B">
        <w:rPr>
          <w:b/>
          <w:color w:val="000000"/>
        </w:rPr>
        <w:t xml:space="preserve"> комплексы как фотокатализаторы реакции </w:t>
      </w:r>
      <w:proofErr w:type="spellStart"/>
      <w:r w:rsidRPr="00E4619B">
        <w:rPr>
          <w:b/>
          <w:color w:val="000000"/>
        </w:rPr>
        <w:t>гидросилилирования</w:t>
      </w:r>
      <w:proofErr w:type="spellEnd"/>
      <w:r w:rsidRPr="00E4619B">
        <w:rPr>
          <w:b/>
          <w:color w:val="000000"/>
        </w:rPr>
        <w:t xml:space="preserve"> </w:t>
      </w:r>
      <w:r w:rsidR="00DB79F7">
        <w:rPr>
          <w:b/>
          <w:color w:val="000000"/>
        </w:rPr>
        <w:t>при</w:t>
      </w:r>
      <w:r w:rsidRPr="00E4619B">
        <w:rPr>
          <w:b/>
          <w:color w:val="000000"/>
        </w:rPr>
        <w:t xml:space="preserve"> </w:t>
      </w:r>
      <w:r w:rsidR="00D0453B">
        <w:rPr>
          <w:b/>
          <w:color w:val="000000"/>
        </w:rPr>
        <w:t xml:space="preserve">облучении </w:t>
      </w:r>
      <w:r w:rsidRPr="00E4619B">
        <w:rPr>
          <w:b/>
          <w:color w:val="000000"/>
        </w:rPr>
        <w:t>видим</w:t>
      </w:r>
      <w:r w:rsidR="00D0453B">
        <w:rPr>
          <w:b/>
          <w:color w:val="000000"/>
        </w:rPr>
        <w:t>ым</w:t>
      </w:r>
      <w:r w:rsidRPr="00E4619B">
        <w:rPr>
          <w:b/>
          <w:color w:val="000000"/>
        </w:rPr>
        <w:t xml:space="preserve"> свет</w:t>
      </w:r>
      <w:r w:rsidR="00D0453B">
        <w:rPr>
          <w:b/>
          <w:color w:val="000000"/>
        </w:rPr>
        <w:t>ом</w:t>
      </w:r>
    </w:p>
    <w:p w14:paraId="00000002" w14:textId="398371A7" w:rsidR="00130241" w:rsidRDefault="00AE60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Кашина М.В.</w:t>
      </w:r>
      <w:r w:rsidR="00EB1F49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Кинжалов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А.</w:t>
      </w:r>
    </w:p>
    <w:p w14:paraId="00000003" w14:textId="75A36577" w:rsidR="00130241" w:rsidRDefault="00AE60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3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обучения</w:t>
      </w:r>
    </w:p>
    <w:p w14:paraId="00000004" w14:textId="35EF3C97" w:rsidR="00130241" w:rsidRPr="00921D45" w:rsidRDefault="00AE60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Санкт-Петербургский государственный университет</w:t>
      </w:r>
      <w:r w:rsidR="00EB1F49">
        <w:rPr>
          <w:i/>
          <w:color w:val="000000"/>
        </w:rPr>
        <w:t>,</w:t>
      </w:r>
    </w:p>
    <w:p w14:paraId="00000005" w14:textId="7E517787" w:rsidR="00130241" w:rsidRPr="00391C38" w:rsidRDefault="00AE60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химии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Санкт-</w:t>
      </w:r>
      <w:r w:rsidR="00517B1B">
        <w:rPr>
          <w:i/>
          <w:color w:val="000000"/>
        </w:rPr>
        <w:t>Петербург</w:t>
      </w:r>
      <w:r w:rsidR="00EB1F49">
        <w:rPr>
          <w:i/>
          <w:color w:val="000000"/>
        </w:rPr>
        <w:t>, Россия</w:t>
      </w:r>
    </w:p>
    <w:p w14:paraId="00000008" w14:textId="1913CDC9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proofErr w:type="spellStart"/>
      <w:r w:rsidR="00AE60BA">
        <w:rPr>
          <w:i/>
          <w:color w:val="000000"/>
          <w:u w:val="single"/>
          <w:lang w:val="en-US"/>
        </w:rPr>
        <w:t>st</w:t>
      </w:r>
      <w:proofErr w:type="spellEnd"/>
      <w:r w:rsidR="00AE60BA" w:rsidRPr="00AE60BA">
        <w:rPr>
          <w:i/>
          <w:color w:val="000000"/>
          <w:u w:val="single"/>
        </w:rPr>
        <w:t>040562@</w:t>
      </w:r>
      <w:r w:rsidR="00AE60BA">
        <w:rPr>
          <w:i/>
          <w:color w:val="000000"/>
          <w:u w:val="single"/>
          <w:lang w:val="en-US"/>
        </w:rPr>
        <w:t>student</w:t>
      </w:r>
      <w:r w:rsidR="00AE60BA" w:rsidRPr="00AE60BA">
        <w:rPr>
          <w:i/>
          <w:color w:val="000000"/>
          <w:u w:val="single"/>
        </w:rPr>
        <w:t>.</w:t>
      </w:r>
      <w:proofErr w:type="spellStart"/>
      <w:r w:rsidR="00AE60BA">
        <w:rPr>
          <w:i/>
          <w:color w:val="000000"/>
          <w:u w:val="single"/>
          <w:lang w:val="en-US"/>
        </w:rPr>
        <w:t>spbu</w:t>
      </w:r>
      <w:proofErr w:type="spellEnd"/>
      <w:r w:rsidR="00AE60BA" w:rsidRPr="00AE60BA">
        <w:rPr>
          <w:i/>
          <w:color w:val="000000"/>
          <w:u w:val="single"/>
        </w:rPr>
        <w:t>.</w:t>
      </w:r>
      <w:proofErr w:type="spellStart"/>
      <w:r w:rsidR="00AE60BA">
        <w:rPr>
          <w:i/>
          <w:color w:val="000000"/>
          <w:u w:val="single"/>
          <w:lang w:val="en-US"/>
        </w:rPr>
        <w:t>ru</w:t>
      </w:r>
      <w:proofErr w:type="spellEnd"/>
    </w:p>
    <w:p w14:paraId="575E15C1" w14:textId="39756A82" w:rsidR="00E4619B" w:rsidRDefault="00E4619B" w:rsidP="00D045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4619B">
        <w:rPr>
          <w:color w:val="000000"/>
        </w:rPr>
        <w:t xml:space="preserve">N-гетероциклические диаминокарбеновые </w:t>
      </w:r>
      <w:r w:rsidR="008D0347" w:rsidRPr="00E4619B">
        <w:rPr>
          <w:color w:val="000000"/>
        </w:rPr>
        <w:t>(NHC)</w:t>
      </w:r>
      <w:r w:rsidR="008D0347">
        <w:rPr>
          <w:color w:val="000000"/>
        </w:rPr>
        <w:t xml:space="preserve"> </w:t>
      </w:r>
      <w:r w:rsidRPr="00E4619B">
        <w:rPr>
          <w:color w:val="000000"/>
        </w:rPr>
        <w:t xml:space="preserve">комплексы являются </w:t>
      </w:r>
      <w:r w:rsidR="00387851">
        <w:rPr>
          <w:color w:val="000000"/>
        </w:rPr>
        <w:t>одними из наиболее эффективных</w:t>
      </w:r>
      <w:r w:rsidRPr="00E4619B">
        <w:rPr>
          <w:color w:val="000000"/>
        </w:rPr>
        <w:t xml:space="preserve"> катализатор</w:t>
      </w:r>
      <w:r w:rsidR="00387851">
        <w:rPr>
          <w:color w:val="000000"/>
        </w:rPr>
        <w:t>ов</w:t>
      </w:r>
      <w:r w:rsidR="008D0347">
        <w:rPr>
          <w:color w:val="000000"/>
        </w:rPr>
        <w:t xml:space="preserve"> органических</w:t>
      </w:r>
      <w:r w:rsidRPr="00E4619B">
        <w:rPr>
          <w:color w:val="000000"/>
        </w:rPr>
        <w:t xml:space="preserve"> реакций</w:t>
      </w:r>
      <w:r w:rsidR="00EA30C0">
        <w:rPr>
          <w:color w:val="000000"/>
        </w:rPr>
        <w:t xml:space="preserve"> в </w:t>
      </w:r>
      <w:r w:rsidR="00517B1B">
        <w:rPr>
          <w:color w:val="000000"/>
        </w:rPr>
        <w:t>фармацевтической промышленност</w:t>
      </w:r>
      <w:r w:rsidR="00EA30C0">
        <w:rPr>
          <w:color w:val="000000"/>
        </w:rPr>
        <w:t>и</w:t>
      </w:r>
      <w:r w:rsidR="00517B1B">
        <w:rPr>
          <w:color w:val="000000"/>
        </w:rPr>
        <w:t xml:space="preserve"> и</w:t>
      </w:r>
      <w:r w:rsidR="00D0453B">
        <w:rPr>
          <w:color w:val="000000"/>
        </w:rPr>
        <w:t xml:space="preserve"> </w:t>
      </w:r>
      <w:r w:rsidR="00517B1B">
        <w:rPr>
          <w:color w:val="000000"/>
        </w:rPr>
        <w:t>лабораторной практик</w:t>
      </w:r>
      <w:r w:rsidR="00EA30C0">
        <w:rPr>
          <w:color w:val="000000"/>
        </w:rPr>
        <w:t>е</w:t>
      </w:r>
      <w:r w:rsidR="00537425">
        <w:rPr>
          <w:color w:val="000000"/>
        </w:rPr>
        <w:t>.</w:t>
      </w:r>
      <w:r w:rsidR="00387851" w:rsidRPr="00E4619B">
        <w:rPr>
          <w:color w:val="000000"/>
        </w:rPr>
        <w:t xml:space="preserve"> </w:t>
      </w:r>
      <w:r w:rsidR="00D0453B">
        <w:rPr>
          <w:color w:val="000000"/>
        </w:rPr>
        <w:t>М</w:t>
      </w:r>
      <w:r w:rsidRPr="00E4619B">
        <w:rPr>
          <w:color w:val="000000"/>
        </w:rPr>
        <w:t>еталл</w:t>
      </w:r>
      <w:r w:rsidR="00DB79F7">
        <w:rPr>
          <w:color w:val="000000"/>
        </w:rPr>
        <w:t>о</w:t>
      </w:r>
      <w:r w:rsidRPr="00E4619B">
        <w:rPr>
          <w:color w:val="000000"/>
        </w:rPr>
        <w:t xml:space="preserve">-N-гетероциклические </w:t>
      </w:r>
      <w:proofErr w:type="spellStart"/>
      <w:r w:rsidRPr="00E4619B">
        <w:rPr>
          <w:color w:val="000000"/>
        </w:rPr>
        <w:t>карбены</w:t>
      </w:r>
      <w:proofErr w:type="spellEnd"/>
      <w:r w:rsidRPr="00E4619B">
        <w:rPr>
          <w:color w:val="000000"/>
        </w:rPr>
        <w:t xml:space="preserve"> (MNHC) проявляют более сильный </w:t>
      </w:r>
      <w:proofErr w:type="spellStart"/>
      <w:r w:rsidRPr="00E4619B">
        <w:rPr>
          <w:color w:val="000000"/>
        </w:rPr>
        <w:t>электрондонорный</w:t>
      </w:r>
      <w:proofErr w:type="spellEnd"/>
      <w:r w:rsidRPr="00E4619B">
        <w:rPr>
          <w:color w:val="000000"/>
        </w:rPr>
        <w:t xml:space="preserve"> характер по сравнению с </w:t>
      </w:r>
      <w:r w:rsidR="008D0347">
        <w:rPr>
          <w:color w:val="000000"/>
        </w:rPr>
        <w:t xml:space="preserve">классическими </w:t>
      </w:r>
      <w:r w:rsidR="00387851" w:rsidRPr="00E4619B">
        <w:rPr>
          <w:color w:val="000000"/>
        </w:rPr>
        <w:t>NHC</w:t>
      </w:r>
      <w:r w:rsidR="00387851">
        <w:rPr>
          <w:color w:val="000000"/>
        </w:rPr>
        <w:t xml:space="preserve"> </w:t>
      </w:r>
      <w:r w:rsidRPr="00E4619B">
        <w:rPr>
          <w:color w:val="000000"/>
        </w:rPr>
        <w:t>аналогами</w:t>
      </w:r>
      <w:r w:rsidR="00387851">
        <w:rPr>
          <w:color w:val="000000"/>
        </w:rPr>
        <w:t>,</w:t>
      </w:r>
      <w:r w:rsidRPr="00E4619B">
        <w:rPr>
          <w:color w:val="000000"/>
        </w:rPr>
        <w:t xml:space="preserve"> </w:t>
      </w:r>
      <w:r w:rsidR="008D0347">
        <w:rPr>
          <w:color w:val="000000"/>
        </w:rPr>
        <w:t>однако их свойства практически не изучены из-за</w:t>
      </w:r>
      <w:r w:rsidR="00781087">
        <w:rPr>
          <w:color w:val="000000"/>
        </w:rPr>
        <w:t xml:space="preserve"> </w:t>
      </w:r>
      <w:r w:rsidR="007811CB">
        <w:rPr>
          <w:color w:val="000000"/>
        </w:rPr>
        <w:t>сложности</w:t>
      </w:r>
      <w:r w:rsidR="000C5BC1">
        <w:rPr>
          <w:color w:val="000000"/>
        </w:rPr>
        <w:t xml:space="preserve"> </w:t>
      </w:r>
      <w:r w:rsidR="00781087">
        <w:rPr>
          <w:color w:val="000000"/>
        </w:rPr>
        <w:t>внедрения</w:t>
      </w:r>
      <w:r w:rsidR="000C5BC1">
        <w:rPr>
          <w:color w:val="000000"/>
        </w:rPr>
        <w:t xml:space="preserve"> </w:t>
      </w:r>
      <w:r w:rsidR="00781087">
        <w:rPr>
          <w:color w:val="000000"/>
        </w:rPr>
        <w:t>металл</w:t>
      </w:r>
      <w:r w:rsidR="000C5BC1">
        <w:rPr>
          <w:color w:val="000000"/>
        </w:rPr>
        <w:t>ов</w:t>
      </w:r>
      <w:r w:rsidR="00781087">
        <w:rPr>
          <w:color w:val="000000"/>
        </w:rPr>
        <w:t xml:space="preserve"> в </w:t>
      </w:r>
      <w:r w:rsidR="000C5BC1" w:rsidRPr="00E4619B">
        <w:rPr>
          <w:color w:val="000000"/>
        </w:rPr>
        <w:t>NHC</w:t>
      </w:r>
      <w:r w:rsidR="000C5BC1">
        <w:rPr>
          <w:color w:val="000000"/>
        </w:rPr>
        <w:t xml:space="preserve"> цикл</w:t>
      </w:r>
      <w:r w:rsidR="008D0347">
        <w:rPr>
          <w:color w:val="000000"/>
        </w:rPr>
        <w:t xml:space="preserve"> </w:t>
      </w:r>
      <w:r>
        <w:rPr>
          <w:color w:val="000000"/>
        </w:rPr>
        <w:fldChar w:fldCharType="begin"/>
      </w:r>
      <w:r w:rsidR="007811CB">
        <w:rPr>
          <w:color w:val="000000"/>
        </w:rPr>
        <w:instrText xml:space="preserve"> ADDIN EN.CITE &lt;EndNote&gt;&lt;Cite&gt;&lt;Author&gt;Gee&lt;/Author&gt;&lt;Year&gt;2018&lt;/Year&gt;&lt;RecNum&gt;452&lt;/RecNum&gt;&lt;DisplayText&gt;[1]&lt;/DisplayText&gt;&lt;record&gt;&lt;rec-number&gt;452&lt;/rec-number&gt;&lt;foreign-keys&gt;&lt;key app="EN" db-id="rt9ddr2zk0zd5sex095p5zegpt09vp0pz2vr" timestamp="0"&gt;452&lt;/key&gt;&lt;/foreign-keys&gt;&lt;ref-type name="Journal Article"&gt;17&lt;/ref-type&gt;&lt;contributors&gt;&lt;authors&gt;&lt;author&gt;Gee, Jack C.&lt;/author&gt;&lt;author&gt;Fuller, Beth A.&lt;/author&gt;&lt;author&gt;Lockett, Hannah-Marie&lt;/author&gt;&lt;author&gt;Sedghi, Gita&lt;/author&gt;&lt;author&gt;Robertson, Craig M.&lt;/author&gt;&lt;author&gt;Luzyanin, Konstantin V.&lt;/author&gt;&lt;/authors&gt;&lt;/contributors&gt;&lt;titles&gt;&lt;title&gt;Visible light accelerated hydrosilylation of alkynes using platinum–[acyclic diaminocarbene] photocatalysts&lt;/title&gt;&lt;secondary-title&gt;Chemical Communications&lt;/secondary-title&gt;&lt;/titles&gt;&lt;periodical&gt;&lt;full-title&gt;Chemical Communications&lt;/full-title&gt;&lt;abbr-1&gt;Chem. Commun.&lt;/abbr-1&gt;&lt;/periodical&gt;&lt;pages&gt;9450-9453&lt;/pages&gt;&lt;volume&gt;54&lt;/volume&gt;&lt;number&gt;68&lt;/number&gt;&lt;section&gt;9450&lt;/section&gt;&lt;dates&gt;&lt;year&gt;2018&lt;/year&gt;&lt;/dates&gt;&lt;publisher&gt;The Royal Society of Chemistry&lt;/publisher&gt;&lt;isbn&gt;1359-7345&lt;/isbn&gt;&lt;urls&gt;&lt;related-urls&gt;&lt;url&gt;http://dx.doi.org/10.1039/C8CC04287J&lt;/url&gt;&lt;/related-urls&gt;&lt;/urls&gt;&lt;electronic-resource-num&gt;10.1039/C8CC04287J&lt;/electronic-resource-num&gt;&lt;/record&gt;&lt;/Cite&gt;&lt;/EndNote&gt;</w:instrText>
      </w:r>
      <w:r>
        <w:rPr>
          <w:color w:val="000000"/>
        </w:rPr>
        <w:fldChar w:fldCharType="separate"/>
      </w:r>
      <w:r w:rsidR="007811CB">
        <w:rPr>
          <w:noProof/>
          <w:color w:val="000000"/>
        </w:rPr>
        <w:t>[1]</w:t>
      </w:r>
      <w:r>
        <w:rPr>
          <w:color w:val="000000"/>
        </w:rPr>
        <w:fldChar w:fldCharType="end"/>
      </w:r>
      <w:r w:rsidR="00EA30C0">
        <w:rPr>
          <w:color w:val="000000"/>
        </w:rPr>
        <w:t>.</w:t>
      </w:r>
      <w:r w:rsidR="00EC7B12">
        <w:rPr>
          <w:color w:val="000000"/>
        </w:rPr>
        <w:t xml:space="preserve"> </w:t>
      </w:r>
    </w:p>
    <w:p w14:paraId="588215A5" w14:textId="4837FD1F" w:rsidR="009B2F80" w:rsidRPr="00E4619B" w:rsidRDefault="002E21BB" w:rsidP="009A6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работе </w:t>
      </w:r>
      <w:r w:rsidR="00537425">
        <w:rPr>
          <w:color w:val="000000"/>
        </w:rPr>
        <w:t>представлен</w:t>
      </w:r>
      <w:r w:rsidRPr="002E21BB">
        <w:rPr>
          <w:color w:val="000000"/>
        </w:rPr>
        <w:t xml:space="preserve"> метод получения </w:t>
      </w:r>
      <w:proofErr w:type="spellStart"/>
      <w:r w:rsidR="00970AA5">
        <w:rPr>
          <w:color w:val="000000"/>
        </w:rPr>
        <w:t>Pd</w:t>
      </w:r>
      <w:r w:rsidR="00970AA5" w:rsidRPr="00970AA5">
        <w:rPr>
          <w:color w:val="000000"/>
          <w:vertAlign w:val="superscript"/>
        </w:rPr>
        <w:t>II</w:t>
      </w:r>
      <w:proofErr w:type="spellEnd"/>
      <w:r w:rsidRPr="00E4619B">
        <w:rPr>
          <w:color w:val="000000"/>
        </w:rPr>
        <w:t xml:space="preserve">- и </w:t>
      </w:r>
      <w:proofErr w:type="spellStart"/>
      <w:r w:rsidRPr="00E4619B">
        <w:rPr>
          <w:color w:val="000000"/>
        </w:rPr>
        <w:t>Pt</w:t>
      </w:r>
      <w:r w:rsidR="00970AA5" w:rsidRPr="00970AA5">
        <w:rPr>
          <w:color w:val="000000"/>
          <w:vertAlign w:val="superscript"/>
        </w:rPr>
        <w:t>II</w:t>
      </w:r>
      <w:proofErr w:type="spellEnd"/>
      <w:r w:rsidRPr="00E4619B">
        <w:rPr>
          <w:color w:val="000000"/>
        </w:rPr>
        <w:t>-MNHC (</w:t>
      </w:r>
      <w:r w:rsidRPr="00E4619B">
        <w:rPr>
          <w:b/>
          <w:bCs/>
          <w:color w:val="000000"/>
        </w:rPr>
        <w:t>7</w:t>
      </w:r>
      <w:r w:rsidRPr="00E4619B">
        <w:rPr>
          <w:color w:val="000000"/>
        </w:rPr>
        <w:t>–</w:t>
      </w:r>
      <w:r w:rsidRPr="00E4619B">
        <w:rPr>
          <w:b/>
          <w:bCs/>
          <w:color w:val="000000"/>
        </w:rPr>
        <w:t>12</w:t>
      </w:r>
      <w:r w:rsidR="00537425">
        <w:rPr>
          <w:color w:val="000000"/>
        </w:rPr>
        <w:t xml:space="preserve">) комплексов, основанный на </w:t>
      </w:r>
      <w:r w:rsidR="00EA30C0">
        <w:rPr>
          <w:color w:val="000000"/>
        </w:rPr>
        <w:t>взаимодействии</w:t>
      </w:r>
      <w:r w:rsidRPr="00E4619B">
        <w:rPr>
          <w:color w:val="000000"/>
        </w:rPr>
        <w:t xml:space="preserve"> </w:t>
      </w:r>
      <w:proofErr w:type="spellStart"/>
      <w:r w:rsidRPr="00DB79F7">
        <w:rPr>
          <w:i/>
          <w:iCs/>
          <w:color w:val="000000"/>
        </w:rPr>
        <w:t>цис</w:t>
      </w:r>
      <w:proofErr w:type="spellEnd"/>
      <w:r w:rsidRPr="00E4619B">
        <w:rPr>
          <w:color w:val="000000"/>
        </w:rPr>
        <w:t>-[MCl</w:t>
      </w:r>
      <w:r w:rsidRPr="00DB79F7">
        <w:rPr>
          <w:color w:val="000000"/>
          <w:vertAlign w:val="subscript"/>
        </w:rPr>
        <w:t>2</w:t>
      </w:r>
      <w:r w:rsidRPr="00E4619B">
        <w:rPr>
          <w:color w:val="000000"/>
        </w:rPr>
        <w:t>(CNR)</w:t>
      </w:r>
      <w:r w:rsidRPr="00DB79F7">
        <w:rPr>
          <w:color w:val="000000"/>
          <w:vertAlign w:val="subscript"/>
        </w:rPr>
        <w:t>2</w:t>
      </w:r>
      <w:r w:rsidRPr="00E4619B">
        <w:rPr>
          <w:color w:val="000000"/>
        </w:rPr>
        <w:t>] (</w:t>
      </w:r>
      <w:r w:rsidRPr="00E4619B">
        <w:rPr>
          <w:b/>
          <w:bCs/>
          <w:color w:val="000000"/>
        </w:rPr>
        <w:t>1</w:t>
      </w:r>
      <w:r w:rsidRPr="00E4619B">
        <w:rPr>
          <w:color w:val="000000"/>
        </w:rPr>
        <w:t>–</w:t>
      </w:r>
      <w:r w:rsidRPr="00E4619B">
        <w:rPr>
          <w:b/>
          <w:bCs/>
          <w:color w:val="000000"/>
        </w:rPr>
        <w:t>4</w:t>
      </w:r>
      <w:r w:rsidRPr="00E4619B">
        <w:rPr>
          <w:color w:val="000000"/>
        </w:rPr>
        <w:t xml:space="preserve">, R = </w:t>
      </w:r>
      <w:proofErr w:type="spellStart"/>
      <w:r w:rsidRPr="00E4619B">
        <w:rPr>
          <w:color w:val="000000"/>
        </w:rPr>
        <w:t>Xyl</w:t>
      </w:r>
      <w:proofErr w:type="spellEnd"/>
      <w:r w:rsidRPr="00E4619B">
        <w:rPr>
          <w:color w:val="000000"/>
        </w:rPr>
        <w:t xml:space="preserve">, </w:t>
      </w:r>
      <w:proofErr w:type="spellStart"/>
      <w:r w:rsidRPr="00E4619B">
        <w:rPr>
          <w:color w:val="000000"/>
        </w:rPr>
        <w:t>Mes</w:t>
      </w:r>
      <w:proofErr w:type="spellEnd"/>
      <w:r w:rsidRPr="00E4619B">
        <w:rPr>
          <w:color w:val="000000"/>
        </w:rPr>
        <w:t>) и 2</w:t>
      </w:r>
      <w:r w:rsidR="00970AA5">
        <w:rPr>
          <w:color w:val="000000"/>
        </w:rPr>
        <w:noBreakHyphen/>
      </w:r>
      <w:r w:rsidRPr="00E4619B">
        <w:rPr>
          <w:color w:val="000000"/>
        </w:rPr>
        <w:t>аминоаз</w:t>
      </w:r>
      <w:r w:rsidR="00EC7B12">
        <w:rPr>
          <w:color w:val="000000"/>
        </w:rPr>
        <w:t>а</w:t>
      </w:r>
      <w:r w:rsidRPr="00E4619B">
        <w:rPr>
          <w:color w:val="000000"/>
        </w:rPr>
        <w:t>гетероцикл</w:t>
      </w:r>
      <w:r>
        <w:rPr>
          <w:color w:val="000000"/>
        </w:rPr>
        <w:t>ов</w:t>
      </w:r>
      <w:r w:rsidRPr="00E4619B">
        <w:rPr>
          <w:color w:val="000000"/>
        </w:rPr>
        <w:t xml:space="preserve"> (</w:t>
      </w:r>
      <w:r w:rsidRPr="00E4619B">
        <w:rPr>
          <w:b/>
          <w:bCs/>
          <w:color w:val="000000"/>
        </w:rPr>
        <w:t>5</w:t>
      </w:r>
      <w:r w:rsidRPr="00E4619B">
        <w:rPr>
          <w:color w:val="000000"/>
        </w:rPr>
        <w:t xml:space="preserve">, </w:t>
      </w:r>
      <w:r w:rsidRPr="00E4619B">
        <w:rPr>
          <w:b/>
          <w:bCs/>
          <w:color w:val="000000"/>
        </w:rPr>
        <w:t>6</w:t>
      </w:r>
      <w:r w:rsidRPr="00E4619B">
        <w:rPr>
          <w:color w:val="000000"/>
        </w:rPr>
        <w:t>)</w:t>
      </w:r>
      <w:r>
        <w:rPr>
          <w:color w:val="000000"/>
        </w:rPr>
        <w:t xml:space="preserve"> </w:t>
      </w:r>
      <w:r w:rsidR="00537425">
        <w:rPr>
          <w:color w:val="000000"/>
        </w:rPr>
        <w:t xml:space="preserve">в мягких условиях </w:t>
      </w:r>
      <w:r>
        <w:rPr>
          <w:color w:val="000000"/>
        </w:rPr>
        <w:t>(</w:t>
      </w:r>
      <w:r w:rsidR="006C5CB6">
        <w:rPr>
          <w:color w:val="000000"/>
        </w:rPr>
        <w:t>84</w:t>
      </w:r>
      <w:r>
        <w:rPr>
          <w:color w:val="000000"/>
        </w:rPr>
        <w:t>–9</w:t>
      </w:r>
      <w:r w:rsidR="006C5CB6">
        <w:rPr>
          <w:color w:val="000000"/>
        </w:rPr>
        <w:t>5</w:t>
      </w:r>
      <w:r w:rsidR="00EC7B12">
        <w:rPr>
          <w:i/>
          <w:color w:val="000000"/>
        </w:rPr>
        <w:t> </w:t>
      </w:r>
      <w:r>
        <w:rPr>
          <w:color w:val="000000"/>
        </w:rPr>
        <w:t xml:space="preserve">%). </w:t>
      </w:r>
      <w:r w:rsidRPr="00E4619B">
        <w:rPr>
          <w:b/>
          <w:bCs/>
          <w:color w:val="000000"/>
        </w:rPr>
        <w:t>7</w:t>
      </w:r>
      <w:r w:rsidRPr="00E4619B">
        <w:rPr>
          <w:color w:val="000000"/>
        </w:rPr>
        <w:t>–</w:t>
      </w:r>
      <w:r w:rsidRPr="00E4619B">
        <w:rPr>
          <w:b/>
          <w:bCs/>
          <w:color w:val="000000"/>
        </w:rPr>
        <w:t>12</w:t>
      </w:r>
      <w:r w:rsidRPr="00D0453B">
        <w:rPr>
          <w:color w:val="000000"/>
        </w:rPr>
        <w:t xml:space="preserve"> </w:t>
      </w:r>
      <w:r>
        <w:rPr>
          <w:color w:val="000000"/>
        </w:rPr>
        <w:t>поглощают</w:t>
      </w:r>
      <w:r w:rsidR="00E4619B" w:rsidRPr="00E4619B">
        <w:rPr>
          <w:color w:val="000000"/>
        </w:rPr>
        <w:t xml:space="preserve"> свет</w:t>
      </w:r>
      <w:r>
        <w:rPr>
          <w:color w:val="000000"/>
        </w:rPr>
        <w:t xml:space="preserve"> </w:t>
      </w:r>
      <w:r w:rsidR="00E4619B" w:rsidRPr="00E4619B">
        <w:rPr>
          <w:color w:val="000000"/>
        </w:rPr>
        <w:t>в видимо</w:t>
      </w:r>
      <w:r w:rsidR="00537425">
        <w:rPr>
          <w:color w:val="000000"/>
        </w:rPr>
        <w:t>м</w:t>
      </w:r>
      <w:r w:rsidR="00E4619B" w:rsidRPr="00E4619B">
        <w:rPr>
          <w:color w:val="000000"/>
        </w:rPr>
        <w:t xml:space="preserve"> </w:t>
      </w:r>
      <w:r w:rsidR="00537425" w:rsidRPr="00E4619B">
        <w:rPr>
          <w:color w:val="000000"/>
        </w:rPr>
        <w:t xml:space="preserve">диапазоне </w:t>
      </w:r>
      <w:r w:rsidR="00E4619B" w:rsidRPr="00E4619B">
        <w:rPr>
          <w:color w:val="000000"/>
        </w:rPr>
        <w:t>света</w:t>
      </w:r>
      <w:r w:rsidR="00537425">
        <w:rPr>
          <w:color w:val="000000"/>
        </w:rPr>
        <w:t xml:space="preserve">, что </w:t>
      </w:r>
      <w:r w:rsidR="000C5BC1">
        <w:rPr>
          <w:color w:val="000000"/>
        </w:rPr>
        <w:t>делает их потенциальными фотокатализаторами при облучении видимым светом</w:t>
      </w:r>
      <w:r w:rsidR="00E4619B" w:rsidRPr="00E4619B">
        <w:rPr>
          <w:color w:val="000000"/>
        </w:rPr>
        <w:t xml:space="preserve">. Согласно </w:t>
      </w:r>
      <w:r w:rsidR="00D9298C">
        <w:rPr>
          <w:color w:val="000000"/>
        </w:rPr>
        <w:t>квантовым</w:t>
      </w:r>
      <w:r w:rsidR="005501DD" w:rsidRPr="00E4619B">
        <w:rPr>
          <w:color w:val="000000"/>
        </w:rPr>
        <w:t xml:space="preserve"> </w:t>
      </w:r>
      <w:r w:rsidR="00E4619B" w:rsidRPr="00E4619B">
        <w:rPr>
          <w:color w:val="000000"/>
        </w:rPr>
        <w:t xml:space="preserve">расчетам, </w:t>
      </w:r>
      <w:r>
        <w:rPr>
          <w:color w:val="000000"/>
        </w:rPr>
        <w:t>длинноволновые полосы поглощения</w:t>
      </w:r>
      <w:r w:rsidR="00E4619B" w:rsidRPr="00E4619B">
        <w:rPr>
          <w:color w:val="000000"/>
        </w:rPr>
        <w:t xml:space="preserve"> относятся к </w:t>
      </w:r>
      <w:proofErr w:type="spellStart"/>
      <w:r w:rsidR="00D9298C">
        <w:rPr>
          <w:color w:val="000000"/>
        </w:rPr>
        <w:t>внутрилигандным</w:t>
      </w:r>
      <w:proofErr w:type="spellEnd"/>
      <w:r w:rsidR="00D9298C">
        <w:rPr>
          <w:color w:val="000000"/>
        </w:rPr>
        <w:t xml:space="preserve"> </w:t>
      </w:r>
      <w:r w:rsidR="00E4619B" w:rsidRPr="00E4619B">
        <w:rPr>
          <w:color w:val="000000"/>
        </w:rPr>
        <w:t xml:space="preserve">переходам и определяются природой </w:t>
      </w:r>
      <w:proofErr w:type="spellStart"/>
      <w:r w:rsidR="00E4619B" w:rsidRPr="00E4619B">
        <w:rPr>
          <w:color w:val="000000"/>
        </w:rPr>
        <w:t>азагетероциклического</w:t>
      </w:r>
      <w:proofErr w:type="spellEnd"/>
      <w:r w:rsidR="00E4619B" w:rsidRPr="00E4619B">
        <w:rPr>
          <w:color w:val="000000"/>
        </w:rPr>
        <w:t xml:space="preserve"> </w:t>
      </w:r>
      <w:r w:rsidR="00EA30C0">
        <w:rPr>
          <w:color w:val="000000"/>
        </w:rPr>
        <w:t>фрагмента</w:t>
      </w:r>
      <w:r w:rsidR="00537425">
        <w:rPr>
          <w:color w:val="000000"/>
        </w:rPr>
        <w:t xml:space="preserve"> – в</w:t>
      </w:r>
      <w:r w:rsidR="005501DD">
        <w:rPr>
          <w:color w:val="000000"/>
        </w:rPr>
        <w:t xml:space="preserve"> </w:t>
      </w:r>
      <w:r w:rsidR="00E4619B" w:rsidRPr="00E4619B">
        <w:rPr>
          <w:b/>
          <w:bCs/>
          <w:color w:val="000000"/>
        </w:rPr>
        <w:t>10</w:t>
      </w:r>
      <w:r w:rsidR="00E4619B" w:rsidRPr="00E4619B">
        <w:rPr>
          <w:color w:val="000000"/>
        </w:rPr>
        <w:t xml:space="preserve"> и </w:t>
      </w:r>
      <w:r w:rsidR="00E4619B" w:rsidRPr="00E4619B">
        <w:rPr>
          <w:b/>
          <w:bCs/>
          <w:color w:val="000000"/>
        </w:rPr>
        <w:t>12</w:t>
      </w:r>
      <w:r w:rsidR="00E4619B" w:rsidRPr="00E4619B">
        <w:rPr>
          <w:color w:val="000000"/>
        </w:rPr>
        <w:t xml:space="preserve"> с </w:t>
      </w:r>
      <w:proofErr w:type="spellStart"/>
      <w:r w:rsidR="00E4619B" w:rsidRPr="00E4619B">
        <w:rPr>
          <w:color w:val="000000"/>
        </w:rPr>
        <w:t>пиразиновым</w:t>
      </w:r>
      <w:proofErr w:type="spellEnd"/>
      <w:r w:rsidR="00E4619B" w:rsidRPr="00E4619B">
        <w:rPr>
          <w:color w:val="000000"/>
        </w:rPr>
        <w:t xml:space="preserve"> кольцом </w:t>
      </w:r>
      <w:r w:rsidR="00537425">
        <w:rPr>
          <w:color w:val="000000"/>
        </w:rPr>
        <w:t xml:space="preserve">длинноволновые полосы поглощения </w:t>
      </w:r>
      <w:r>
        <w:rPr>
          <w:color w:val="000000"/>
        </w:rPr>
        <w:t xml:space="preserve">сдвинуты </w:t>
      </w:r>
      <w:proofErr w:type="spellStart"/>
      <w:r>
        <w:rPr>
          <w:color w:val="000000"/>
        </w:rPr>
        <w:t>батохромно</w:t>
      </w:r>
      <w:proofErr w:type="spellEnd"/>
      <w:r>
        <w:rPr>
          <w:color w:val="000000"/>
        </w:rPr>
        <w:t xml:space="preserve"> на </w:t>
      </w:r>
      <w:r w:rsidR="00E4619B" w:rsidRPr="00E4619B">
        <w:rPr>
          <w:color w:val="000000"/>
        </w:rPr>
        <w:t>20–40</w:t>
      </w:r>
      <w:r w:rsidR="00EC7B12">
        <w:rPr>
          <w:i/>
          <w:color w:val="000000"/>
        </w:rPr>
        <w:t> </w:t>
      </w:r>
      <w:r w:rsidR="00E4619B" w:rsidRPr="00E4619B">
        <w:rPr>
          <w:color w:val="000000"/>
        </w:rPr>
        <w:t xml:space="preserve">нм относительно пиридиновых аналогов </w:t>
      </w:r>
      <w:r w:rsidR="00E4619B" w:rsidRPr="00E4619B">
        <w:rPr>
          <w:b/>
          <w:bCs/>
          <w:color w:val="000000"/>
        </w:rPr>
        <w:t>7</w:t>
      </w:r>
      <w:r w:rsidR="00E4619B" w:rsidRPr="00E4619B">
        <w:rPr>
          <w:color w:val="000000"/>
        </w:rPr>
        <w:t>–</w:t>
      </w:r>
      <w:r w:rsidR="00E4619B" w:rsidRPr="00E4619B">
        <w:rPr>
          <w:b/>
          <w:bCs/>
          <w:color w:val="000000"/>
        </w:rPr>
        <w:t>9</w:t>
      </w:r>
      <w:r w:rsidR="00E4619B" w:rsidRPr="00E4619B">
        <w:rPr>
          <w:color w:val="000000"/>
        </w:rPr>
        <w:t xml:space="preserve"> и </w:t>
      </w:r>
      <w:r w:rsidR="00E4619B" w:rsidRPr="00E4619B">
        <w:rPr>
          <w:b/>
          <w:bCs/>
          <w:color w:val="000000"/>
        </w:rPr>
        <w:t>11</w:t>
      </w:r>
      <w:r w:rsidR="00E4619B" w:rsidRPr="00E4619B">
        <w:rPr>
          <w:color w:val="000000"/>
        </w:rPr>
        <w:t xml:space="preserve">. </w:t>
      </w:r>
    </w:p>
    <w:p w14:paraId="15E03B63" w14:textId="77777777" w:rsidR="00E4619B" w:rsidRDefault="00E4619B" w:rsidP="009A6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3E4F3F33" w14:textId="41305B79" w:rsidR="009B2F80" w:rsidRDefault="00E36D4A" w:rsidP="00E42467">
      <w:pPr>
        <w:jc w:val="center"/>
      </w:pPr>
      <w:r>
        <w:rPr>
          <w:noProof/>
        </w:rPr>
        <w:drawing>
          <wp:inline distT="0" distB="0" distL="0" distR="0" wp14:anchorId="6A805918" wp14:editId="3A5BAB28">
            <wp:extent cx="5612278" cy="1191634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672" cy="12108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66786A" w14:textId="72F5E00B" w:rsidR="009B2F80" w:rsidRPr="00B138FF" w:rsidRDefault="009B2F80" w:rsidP="00FF1903">
      <w:pPr>
        <w:jc w:val="center"/>
      </w:pPr>
      <w:r w:rsidRPr="006834C5">
        <w:t xml:space="preserve">Рис. 1. </w:t>
      </w:r>
      <w:r w:rsidR="00E42467" w:rsidRPr="00E42467">
        <w:rPr>
          <w:b/>
          <w:bCs/>
        </w:rPr>
        <w:t>А</w:t>
      </w:r>
      <w:r w:rsidR="00E42467">
        <w:t xml:space="preserve"> Строение </w:t>
      </w:r>
      <w:r w:rsidR="00E42467" w:rsidRPr="00E4619B">
        <w:rPr>
          <w:color w:val="000000"/>
        </w:rPr>
        <w:t xml:space="preserve">NHC </w:t>
      </w:r>
      <w:r w:rsidR="00970AA5">
        <w:rPr>
          <w:color w:val="000000"/>
        </w:rPr>
        <w:t xml:space="preserve">и </w:t>
      </w:r>
      <w:r w:rsidR="00E42467" w:rsidRPr="00E4619B">
        <w:rPr>
          <w:color w:val="000000"/>
        </w:rPr>
        <w:t>MNHC</w:t>
      </w:r>
      <w:r w:rsidR="00D62870" w:rsidRPr="00D62870">
        <w:rPr>
          <w:color w:val="000000"/>
        </w:rPr>
        <w:t>;</w:t>
      </w:r>
      <w:r w:rsidR="00E42467">
        <w:rPr>
          <w:color w:val="000000"/>
        </w:rPr>
        <w:t xml:space="preserve"> </w:t>
      </w:r>
      <w:r w:rsidR="00E42467" w:rsidRPr="00E42467">
        <w:rPr>
          <w:b/>
          <w:bCs/>
          <w:color w:val="000000"/>
        </w:rPr>
        <w:t>Б</w:t>
      </w:r>
      <w:r w:rsidR="00E42467">
        <w:t xml:space="preserve"> </w:t>
      </w:r>
      <w:r w:rsidR="00B138FF" w:rsidRPr="00B138FF">
        <w:rPr>
          <w:bCs/>
        </w:rPr>
        <w:t>Схема</w:t>
      </w:r>
      <w:r w:rsidR="00B138FF">
        <w:rPr>
          <w:bCs/>
        </w:rPr>
        <w:t xml:space="preserve"> реакций синтеза </w:t>
      </w:r>
      <w:r w:rsidR="00B138FF" w:rsidRPr="00E4619B">
        <w:rPr>
          <w:color w:val="000000"/>
        </w:rPr>
        <w:t>MNHC</w:t>
      </w:r>
      <w:r w:rsidR="00B138FF">
        <w:rPr>
          <w:bCs/>
        </w:rPr>
        <w:t xml:space="preserve"> комплексов </w:t>
      </w:r>
      <w:r w:rsidR="00B138FF" w:rsidRPr="00E4619B">
        <w:rPr>
          <w:b/>
          <w:bCs/>
          <w:color w:val="000000"/>
        </w:rPr>
        <w:t>7</w:t>
      </w:r>
      <w:r w:rsidR="00B138FF" w:rsidRPr="00E4619B">
        <w:rPr>
          <w:color w:val="000000"/>
        </w:rPr>
        <w:t>–</w:t>
      </w:r>
      <w:r w:rsidR="00B138FF" w:rsidRPr="00E4619B">
        <w:rPr>
          <w:b/>
          <w:bCs/>
          <w:color w:val="000000"/>
        </w:rPr>
        <w:t>12</w:t>
      </w:r>
      <w:r w:rsidR="00D62870" w:rsidRPr="00D62870">
        <w:rPr>
          <w:color w:val="000000"/>
        </w:rPr>
        <w:t>;</w:t>
      </w:r>
      <w:r w:rsidR="00E42467">
        <w:rPr>
          <w:color w:val="000000"/>
        </w:rPr>
        <w:t xml:space="preserve"> </w:t>
      </w:r>
      <w:r w:rsidR="00E42467" w:rsidRPr="00E42467">
        <w:rPr>
          <w:b/>
          <w:bCs/>
          <w:color w:val="000000"/>
        </w:rPr>
        <w:t>В</w:t>
      </w:r>
      <w:r w:rsidR="00E42467">
        <w:rPr>
          <w:color w:val="000000"/>
        </w:rPr>
        <w:t xml:space="preserve"> Схема реакций </w:t>
      </w:r>
      <w:proofErr w:type="spellStart"/>
      <w:r w:rsidR="00E42467">
        <w:rPr>
          <w:color w:val="000000"/>
        </w:rPr>
        <w:t>гидросилилирования</w:t>
      </w:r>
      <w:proofErr w:type="spellEnd"/>
      <w:r w:rsidR="00E42467">
        <w:rPr>
          <w:color w:val="000000"/>
        </w:rPr>
        <w:t>.</w:t>
      </w:r>
    </w:p>
    <w:p w14:paraId="4D036782" w14:textId="099D3701" w:rsidR="00E4619B" w:rsidRPr="00FF1903" w:rsidRDefault="00E4619B" w:rsidP="00FF1903">
      <w:pPr>
        <w:jc w:val="center"/>
      </w:pPr>
    </w:p>
    <w:p w14:paraId="2E68D806" w14:textId="0F6ADA64" w:rsidR="00FF1903" w:rsidRPr="00E4619B" w:rsidRDefault="005501DD" w:rsidP="005501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Комплексы </w:t>
      </w:r>
      <w:proofErr w:type="spellStart"/>
      <w:r w:rsidR="00E4619B" w:rsidRPr="00E4619B">
        <w:rPr>
          <w:color w:val="000000"/>
        </w:rPr>
        <w:t>Pt</w:t>
      </w:r>
      <w:r w:rsidR="00E4619B" w:rsidRPr="00970AA5">
        <w:rPr>
          <w:color w:val="000000"/>
          <w:vertAlign w:val="superscript"/>
        </w:rPr>
        <w:t>II</w:t>
      </w:r>
      <w:proofErr w:type="spellEnd"/>
      <w:r w:rsidR="00E4619B" w:rsidRPr="00E4619B">
        <w:rPr>
          <w:color w:val="000000"/>
        </w:rPr>
        <w:t xml:space="preserve"> </w:t>
      </w:r>
      <w:r w:rsidR="00E4619B" w:rsidRPr="00B138FF">
        <w:rPr>
          <w:b/>
          <w:bCs/>
          <w:color w:val="000000"/>
        </w:rPr>
        <w:t>8</w:t>
      </w:r>
      <w:r w:rsidR="00E4619B" w:rsidRPr="00E4619B">
        <w:rPr>
          <w:color w:val="000000"/>
        </w:rPr>
        <w:t xml:space="preserve">, </w:t>
      </w:r>
      <w:r w:rsidR="00E4619B" w:rsidRPr="00B138FF">
        <w:rPr>
          <w:b/>
          <w:bCs/>
          <w:color w:val="000000"/>
        </w:rPr>
        <w:t>11</w:t>
      </w:r>
      <w:r w:rsidR="00E4619B" w:rsidRPr="00E4619B">
        <w:rPr>
          <w:color w:val="000000"/>
        </w:rPr>
        <w:t>–</w:t>
      </w:r>
      <w:r w:rsidR="00E4619B" w:rsidRPr="00B138FF">
        <w:rPr>
          <w:b/>
          <w:bCs/>
          <w:color w:val="000000"/>
        </w:rPr>
        <w:t>12</w:t>
      </w:r>
      <w:r w:rsidR="00E4619B" w:rsidRPr="00E4619B">
        <w:rPr>
          <w:color w:val="000000"/>
        </w:rPr>
        <w:t xml:space="preserve"> </w:t>
      </w:r>
      <w:r>
        <w:rPr>
          <w:color w:val="000000"/>
        </w:rPr>
        <w:t>исследованы как</w:t>
      </w:r>
      <w:r w:rsidR="00E4619B" w:rsidRPr="00E4619B">
        <w:rPr>
          <w:color w:val="000000"/>
        </w:rPr>
        <w:t xml:space="preserve"> фотокатализаторы </w:t>
      </w:r>
      <w:r>
        <w:rPr>
          <w:color w:val="000000"/>
        </w:rPr>
        <w:t xml:space="preserve">под действием </w:t>
      </w:r>
      <w:r w:rsidR="00E4619B" w:rsidRPr="00E4619B">
        <w:rPr>
          <w:color w:val="000000"/>
        </w:rPr>
        <w:t xml:space="preserve">видимого света </w:t>
      </w:r>
      <w:r>
        <w:rPr>
          <w:color w:val="000000"/>
        </w:rPr>
        <w:t>в</w:t>
      </w:r>
      <w:r w:rsidR="00E4619B" w:rsidRPr="00E4619B">
        <w:rPr>
          <w:color w:val="000000"/>
        </w:rPr>
        <w:t xml:space="preserve"> реакции </w:t>
      </w:r>
      <w:proofErr w:type="spellStart"/>
      <w:r w:rsidR="00EA30C0">
        <w:rPr>
          <w:color w:val="000000"/>
        </w:rPr>
        <w:t>гидросилилировани</w:t>
      </w:r>
      <w:r w:rsidR="007811CB">
        <w:rPr>
          <w:color w:val="000000"/>
        </w:rPr>
        <w:t>я</w:t>
      </w:r>
      <w:proofErr w:type="spellEnd"/>
      <w:r w:rsidR="00EA30C0">
        <w:rPr>
          <w:color w:val="000000"/>
        </w:rPr>
        <w:t xml:space="preserve"> </w:t>
      </w:r>
      <w:proofErr w:type="spellStart"/>
      <w:r w:rsidR="00E4619B" w:rsidRPr="00E4619B">
        <w:rPr>
          <w:color w:val="000000"/>
        </w:rPr>
        <w:t>дифенилацетилена</w:t>
      </w:r>
      <w:proofErr w:type="spellEnd"/>
      <w:r w:rsidR="00E4619B" w:rsidRPr="00E4619B">
        <w:rPr>
          <w:color w:val="000000"/>
        </w:rPr>
        <w:t xml:space="preserve"> </w:t>
      </w:r>
      <w:proofErr w:type="spellStart"/>
      <w:r w:rsidR="00E4619B" w:rsidRPr="00E4619B">
        <w:rPr>
          <w:color w:val="000000"/>
        </w:rPr>
        <w:t>триэтилсиланом</w:t>
      </w:r>
      <w:proofErr w:type="spellEnd"/>
      <w:r w:rsidR="00E4619B" w:rsidRPr="00E4619B">
        <w:rPr>
          <w:color w:val="000000"/>
        </w:rPr>
        <w:t xml:space="preserve">. </w:t>
      </w:r>
      <w:r>
        <w:rPr>
          <w:color w:val="000000"/>
        </w:rPr>
        <w:t xml:space="preserve">Каталитический процесс происходил </w:t>
      </w:r>
      <w:r w:rsidR="00E62D23">
        <w:rPr>
          <w:color w:val="000000"/>
        </w:rPr>
        <w:t>при облучении</w:t>
      </w:r>
      <w:r w:rsidR="00E4619B" w:rsidRPr="00E4619B">
        <w:rPr>
          <w:color w:val="000000"/>
        </w:rPr>
        <w:t xml:space="preserve"> сини</w:t>
      </w:r>
      <w:r w:rsidR="00E62D23">
        <w:rPr>
          <w:color w:val="000000"/>
        </w:rPr>
        <w:t xml:space="preserve">ми </w:t>
      </w:r>
      <w:r w:rsidR="00970AA5">
        <w:rPr>
          <w:color w:val="000000"/>
        </w:rPr>
        <w:t>светом (λ</w:t>
      </w:r>
      <w:r w:rsidR="00970AA5" w:rsidRPr="00970AA5">
        <w:rPr>
          <w:color w:val="000000"/>
          <w:vertAlign w:val="subscript"/>
          <w:lang w:val="en-US"/>
        </w:rPr>
        <w:t>max</w:t>
      </w:r>
      <w:r w:rsidR="00970AA5">
        <w:rPr>
          <w:color w:val="000000"/>
        </w:rPr>
        <w:t xml:space="preserve"> = 445 нм)</w:t>
      </w:r>
      <w:r w:rsidR="00E62D23">
        <w:rPr>
          <w:color w:val="000000"/>
        </w:rPr>
        <w:t xml:space="preserve"> </w:t>
      </w:r>
      <w:r w:rsidR="00E4619B" w:rsidRPr="00E4619B">
        <w:rPr>
          <w:color w:val="000000"/>
        </w:rPr>
        <w:t>в течение 6–12</w:t>
      </w:r>
      <w:r w:rsidR="00EC7B12">
        <w:rPr>
          <w:i/>
          <w:color w:val="000000"/>
        </w:rPr>
        <w:t> </w:t>
      </w:r>
      <w:r w:rsidR="00E4619B" w:rsidRPr="00E4619B">
        <w:rPr>
          <w:color w:val="000000"/>
        </w:rPr>
        <w:t>ч</w:t>
      </w:r>
      <w:r w:rsidR="00E62D23">
        <w:rPr>
          <w:color w:val="000000"/>
        </w:rPr>
        <w:t>.</w:t>
      </w:r>
      <w:r w:rsidR="00E4619B" w:rsidRPr="00E4619B">
        <w:rPr>
          <w:color w:val="000000"/>
        </w:rPr>
        <w:t xml:space="preserve"> при загрузке катализатора 0</w:t>
      </w:r>
      <w:r w:rsidR="00B138FF">
        <w:rPr>
          <w:color w:val="000000"/>
        </w:rPr>
        <w:t>.</w:t>
      </w:r>
      <w:r w:rsidR="00E4619B" w:rsidRPr="00E4619B">
        <w:rPr>
          <w:color w:val="000000"/>
        </w:rPr>
        <w:t>1</w:t>
      </w:r>
      <w:r w:rsidR="00EC7B12">
        <w:rPr>
          <w:i/>
          <w:color w:val="000000"/>
        </w:rPr>
        <w:t> </w:t>
      </w:r>
      <w:r w:rsidR="00E4619B" w:rsidRPr="00E4619B">
        <w:rPr>
          <w:color w:val="000000"/>
        </w:rPr>
        <w:t>мол.</w:t>
      </w:r>
      <w:r w:rsidR="00EC7B12">
        <w:rPr>
          <w:i/>
          <w:color w:val="000000"/>
        </w:rPr>
        <w:t> </w:t>
      </w:r>
      <w:r w:rsidR="00E4619B" w:rsidRPr="00E4619B">
        <w:rPr>
          <w:color w:val="000000"/>
        </w:rPr>
        <w:t>%</w:t>
      </w:r>
      <w:r w:rsidR="007811CB">
        <w:rPr>
          <w:color w:val="000000"/>
        </w:rPr>
        <w:t>, где комплексы</w:t>
      </w:r>
      <w:r w:rsidR="00D9298C">
        <w:rPr>
          <w:color w:val="000000"/>
        </w:rPr>
        <w:t xml:space="preserve"> </w:t>
      </w:r>
      <w:r w:rsidR="007811CB">
        <w:rPr>
          <w:color w:val="000000"/>
        </w:rPr>
        <w:t xml:space="preserve">действовали </w:t>
      </w:r>
      <w:r>
        <w:rPr>
          <w:color w:val="000000"/>
        </w:rPr>
        <w:t xml:space="preserve">одновременно </w:t>
      </w:r>
      <w:proofErr w:type="spellStart"/>
      <w:r w:rsidR="00E4619B" w:rsidRPr="00E4619B">
        <w:rPr>
          <w:color w:val="000000"/>
        </w:rPr>
        <w:t>светопоглощающи</w:t>
      </w:r>
      <w:r w:rsidR="007811CB">
        <w:rPr>
          <w:color w:val="000000"/>
        </w:rPr>
        <w:t>ми</w:t>
      </w:r>
      <w:proofErr w:type="spellEnd"/>
      <w:r w:rsidR="00E4619B" w:rsidRPr="00E4619B">
        <w:rPr>
          <w:color w:val="000000"/>
        </w:rPr>
        <w:t xml:space="preserve"> </w:t>
      </w:r>
      <w:r>
        <w:rPr>
          <w:color w:val="000000"/>
        </w:rPr>
        <w:t xml:space="preserve">и катализирующими </w:t>
      </w:r>
      <w:r w:rsidR="00E4619B" w:rsidRPr="00E4619B">
        <w:rPr>
          <w:color w:val="000000"/>
        </w:rPr>
        <w:t xml:space="preserve">частицами. </w:t>
      </w:r>
      <w:r w:rsidR="007811CB">
        <w:rPr>
          <w:color w:val="000000"/>
        </w:rPr>
        <w:t>При этом к</w:t>
      </w:r>
      <w:r w:rsidR="00D0453B">
        <w:rPr>
          <w:color w:val="000000"/>
        </w:rPr>
        <w:t xml:space="preserve">атализатор </w:t>
      </w:r>
      <w:r w:rsidR="00D0453B" w:rsidRPr="00D0453B">
        <w:rPr>
          <w:b/>
          <w:bCs/>
          <w:color w:val="000000"/>
        </w:rPr>
        <w:t>11</w:t>
      </w:r>
      <w:r w:rsidR="00D0453B" w:rsidRPr="00E4619B">
        <w:rPr>
          <w:color w:val="000000"/>
        </w:rPr>
        <w:t xml:space="preserve"> (R = </w:t>
      </w:r>
      <w:proofErr w:type="spellStart"/>
      <w:r w:rsidR="00D0453B" w:rsidRPr="00E4619B">
        <w:rPr>
          <w:color w:val="000000"/>
        </w:rPr>
        <w:t>Mes</w:t>
      </w:r>
      <w:proofErr w:type="spellEnd"/>
      <w:r w:rsidR="00D0453B" w:rsidRPr="00E4619B">
        <w:rPr>
          <w:color w:val="000000"/>
        </w:rPr>
        <w:t>, X = CH)</w:t>
      </w:r>
      <w:r w:rsidR="00D0453B">
        <w:rPr>
          <w:color w:val="000000"/>
        </w:rPr>
        <w:t xml:space="preserve"> </w:t>
      </w:r>
      <w:r w:rsidR="007811CB">
        <w:rPr>
          <w:color w:val="000000"/>
        </w:rPr>
        <w:t>оказался</w:t>
      </w:r>
      <w:r w:rsidR="00D0453B">
        <w:rPr>
          <w:color w:val="000000"/>
        </w:rPr>
        <w:t xml:space="preserve"> наиболее активным</w:t>
      </w:r>
      <w:r w:rsidR="00E4619B" w:rsidRPr="00E4619B">
        <w:rPr>
          <w:color w:val="000000"/>
        </w:rPr>
        <w:t>, обеспечива</w:t>
      </w:r>
      <w:r w:rsidR="00D0453B">
        <w:rPr>
          <w:color w:val="000000"/>
        </w:rPr>
        <w:t>я</w:t>
      </w:r>
      <w:r w:rsidR="00E4619B" w:rsidRPr="00E4619B">
        <w:rPr>
          <w:color w:val="000000"/>
        </w:rPr>
        <w:t xml:space="preserve"> количественн</w:t>
      </w:r>
      <w:r w:rsidR="00970AA5">
        <w:rPr>
          <w:color w:val="000000"/>
        </w:rPr>
        <w:t xml:space="preserve">ый </w:t>
      </w:r>
      <w:r w:rsidR="00E4619B" w:rsidRPr="00E4619B">
        <w:rPr>
          <w:color w:val="000000"/>
        </w:rPr>
        <w:t xml:space="preserve">выход </w:t>
      </w:r>
      <w:r w:rsidR="00E4619B">
        <w:rPr>
          <w:color w:val="000000"/>
        </w:rPr>
        <w:fldChar w:fldCharType="begin"/>
      </w:r>
      <w:r w:rsidR="007811CB">
        <w:rPr>
          <w:color w:val="000000"/>
        </w:rPr>
        <w:instrText xml:space="preserve"> ADDIN EN.CITE &lt;EndNote&gt;&lt;Cite&gt;&lt;Author&gt;Kashina&lt;/Author&gt;&lt;Year&gt;2022&lt;/Year&gt;&lt;RecNum&gt;1024&lt;/RecNum&gt;&lt;DisplayText&gt;[2]&lt;/DisplayText&gt;&lt;record&gt;&lt;rec-number&gt;1024&lt;/rec-number&gt;&lt;foreign-keys&gt;&lt;key app="EN" db-id="rt9ddr2zk0zd5sex095p5zegpt09vp0pz2vr" timestamp="1660902512"&gt;1024&lt;/key&gt;&lt;/foreign-keys&gt;&lt;ref-type name="Journal Article"&gt;17&lt;/ref-type&gt;&lt;contributors&gt;&lt;authors&gt;&lt;author&gt;Kashina, Maria V.&lt;/author&gt;&lt;author&gt;Luzyanin, Konstantin V.&lt;/author&gt;&lt;author&gt;Katlenok, Eugene A.&lt;/author&gt;&lt;author&gt;Novikov, Alexander S.&lt;/author&gt;&lt;author&gt;Kinzhalov, Mikhail A.&lt;/author&gt;&lt;/authors&gt;&lt;/contributors&gt;&lt;titles&gt;&lt;title&gt;Experimental and computational tuning of metalla-N-heterocyclic carbenes at palladium(ii) and platinum(ii) centers&lt;/title&gt;&lt;secondary-title&gt;Dalton Transactions&lt;/secondary-title&gt;&lt;/titles&gt;&lt;periodical&gt;&lt;full-title&gt;Dalton Transactions&lt;/full-title&gt;&lt;abbr-1&gt;Dalton Trans.&lt;/abbr-1&gt;&lt;/periodical&gt;&lt;pages&gt;6718-6734&lt;/pages&gt;&lt;volume&gt;51&lt;/volume&gt;&lt;number&gt;17&lt;/number&gt;&lt;dates&gt;&lt;year&gt;2022&lt;/year&gt;&lt;/dates&gt;&lt;publisher&gt;The Royal Society of Chemistry&lt;/publisher&gt;&lt;isbn&gt;1477-9226&lt;/isbn&gt;&lt;work-type&gt;10.1039/D2DT00252C&lt;/work-type&gt;&lt;urls&gt;&lt;related-urls&gt;&lt;url&gt;http://dx.doi.org/10.1039/D2DT00252C&lt;/url&gt;&lt;/related-urls&gt;&lt;/urls&gt;&lt;electronic-resource-num&gt;10.1039/D2DT00252C&lt;/electronic-resource-num&gt;&lt;/record&gt;&lt;/Cite&gt;&lt;/EndNote&gt;</w:instrText>
      </w:r>
      <w:r w:rsidR="00E4619B">
        <w:rPr>
          <w:color w:val="000000"/>
        </w:rPr>
        <w:fldChar w:fldCharType="separate"/>
      </w:r>
      <w:r w:rsidR="007811CB">
        <w:rPr>
          <w:noProof/>
          <w:color w:val="000000"/>
        </w:rPr>
        <w:t>[2]</w:t>
      </w:r>
      <w:r w:rsidR="00E4619B">
        <w:rPr>
          <w:color w:val="000000"/>
        </w:rPr>
        <w:fldChar w:fldCharType="end"/>
      </w:r>
      <w:r w:rsidR="007811CB">
        <w:rPr>
          <w:color w:val="000000"/>
        </w:rPr>
        <w:t>.</w:t>
      </w:r>
    </w:p>
    <w:p w14:paraId="022FC08C" w14:textId="29DF5729" w:rsidR="00A02163" w:rsidRPr="00A02163" w:rsidRDefault="00E4619B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E4619B">
        <w:rPr>
          <w:i/>
          <w:iCs/>
          <w:color w:val="000000"/>
        </w:rPr>
        <w:t xml:space="preserve">Работа выполнена при поддержке Российского научного фонда (проект </w:t>
      </w:r>
      <w:r w:rsidR="00DB79F7" w:rsidRPr="00DB79F7">
        <w:rPr>
          <w:i/>
          <w:iCs/>
          <w:snapToGrid w:val="0"/>
        </w:rPr>
        <w:t>21-73-10083</w:t>
      </w:r>
      <w:r w:rsidRPr="00E4619B">
        <w:rPr>
          <w:i/>
          <w:iCs/>
          <w:color w:val="000000"/>
        </w:rPr>
        <w:t xml:space="preserve">). Измерения проводились в </w:t>
      </w:r>
      <w:r w:rsidR="00DB79F7">
        <w:rPr>
          <w:i/>
          <w:iCs/>
          <w:color w:val="000000"/>
        </w:rPr>
        <w:t>Научном</w:t>
      </w:r>
      <w:r w:rsidRPr="00E4619B">
        <w:rPr>
          <w:i/>
          <w:iCs/>
          <w:color w:val="000000"/>
        </w:rPr>
        <w:t xml:space="preserve"> парке СПбГУ (</w:t>
      </w:r>
      <w:r w:rsidR="00DB79F7">
        <w:rPr>
          <w:i/>
          <w:iCs/>
          <w:color w:val="000000"/>
        </w:rPr>
        <w:t>РЦ</w:t>
      </w:r>
      <w:r w:rsidRPr="00E4619B">
        <w:rPr>
          <w:i/>
          <w:iCs/>
          <w:color w:val="000000"/>
        </w:rPr>
        <w:t xml:space="preserve"> </w:t>
      </w:r>
      <w:r w:rsidR="00DB79F7">
        <w:rPr>
          <w:i/>
          <w:iCs/>
          <w:color w:val="000000"/>
        </w:rPr>
        <w:t>МАСВ</w:t>
      </w:r>
      <w:r w:rsidRPr="00E4619B">
        <w:rPr>
          <w:i/>
          <w:iCs/>
          <w:color w:val="000000"/>
        </w:rPr>
        <w:t xml:space="preserve">, </w:t>
      </w:r>
      <w:r w:rsidR="00DB79F7">
        <w:rPr>
          <w:i/>
          <w:iCs/>
          <w:color w:val="000000"/>
        </w:rPr>
        <w:t>МРМИ</w:t>
      </w:r>
      <w:r w:rsidRPr="00E4619B">
        <w:rPr>
          <w:i/>
          <w:iCs/>
          <w:color w:val="000000"/>
        </w:rPr>
        <w:t xml:space="preserve">, </w:t>
      </w:r>
      <w:r w:rsidR="00DB79F7">
        <w:rPr>
          <w:i/>
          <w:iCs/>
          <w:color w:val="000000"/>
        </w:rPr>
        <w:t>ОЛМИВ</w:t>
      </w:r>
      <w:r w:rsidRPr="00E4619B">
        <w:rPr>
          <w:i/>
          <w:iCs/>
          <w:color w:val="000000"/>
        </w:rPr>
        <w:t xml:space="preserve">, </w:t>
      </w:r>
      <w:r w:rsidR="00DB79F7">
        <w:rPr>
          <w:i/>
          <w:iCs/>
          <w:color w:val="000000"/>
        </w:rPr>
        <w:t>ТКМИ</w:t>
      </w:r>
      <w:r w:rsidRPr="00E4619B">
        <w:rPr>
          <w:i/>
          <w:iCs/>
          <w:color w:val="000000"/>
        </w:rPr>
        <w:t xml:space="preserve">, </w:t>
      </w:r>
      <w:r w:rsidR="00DB79F7">
        <w:rPr>
          <w:i/>
          <w:iCs/>
          <w:color w:val="000000"/>
        </w:rPr>
        <w:t>РМИ</w:t>
      </w:r>
      <w:r w:rsidRPr="00E4619B">
        <w:rPr>
          <w:i/>
          <w:iCs/>
          <w:color w:val="000000"/>
        </w:rPr>
        <w:t xml:space="preserve"> и </w:t>
      </w:r>
      <w:r w:rsidR="00DB79F7">
        <w:rPr>
          <w:i/>
          <w:iCs/>
          <w:color w:val="000000"/>
        </w:rPr>
        <w:t>КО</w:t>
      </w:r>
      <w:r w:rsidRPr="00E4619B">
        <w:rPr>
          <w:i/>
          <w:iCs/>
          <w:color w:val="000000"/>
        </w:rPr>
        <w:t>)</w:t>
      </w:r>
      <w:r w:rsidR="00A02163" w:rsidRPr="00A02163">
        <w:rPr>
          <w:i/>
          <w:iCs/>
          <w:color w:val="000000"/>
        </w:rPr>
        <w:t>.</w:t>
      </w:r>
    </w:p>
    <w:p w14:paraId="0000000E" w14:textId="77777777" w:rsidR="00130241" w:rsidRPr="00970AA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6E9D877C" w14:textId="4B744219" w:rsidR="007811CB" w:rsidRPr="00970AA5" w:rsidRDefault="00E4619B" w:rsidP="007811CB">
      <w:pPr>
        <w:pStyle w:val="EndNoteBibliography"/>
        <w:rPr>
          <w:lang w:val="en-US"/>
        </w:rPr>
      </w:pPr>
      <w:r>
        <w:rPr>
          <w:color w:val="000000"/>
        </w:rPr>
        <w:fldChar w:fldCharType="begin"/>
      </w:r>
      <w:r w:rsidRPr="00970AA5">
        <w:rPr>
          <w:color w:val="000000"/>
        </w:rPr>
        <w:instrText xml:space="preserve"> </w:instrText>
      </w:r>
      <w:r w:rsidRPr="00AA1CA7">
        <w:rPr>
          <w:color w:val="000000"/>
          <w:lang w:val="en-US"/>
        </w:rPr>
        <w:instrText>ADDIN</w:instrText>
      </w:r>
      <w:r w:rsidRPr="00970AA5">
        <w:rPr>
          <w:color w:val="000000"/>
        </w:rPr>
        <w:instrText xml:space="preserve"> </w:instrText>
      </w:r>
      <w:r w:rsidRPr="00AA1CA7">
        <w:rPr>
          <w:color w:val="000000"/>
          <w:lang w:val="en-US"/>
        </w:rPr>
        <w:instrText>EN</w:instrText>
      </w:r>
      <w:r w:rsidRPr="00970AA5">
        <w:rPr>
          <w:color w:val="000000"/>
        </w:rPr>
        <w:instrText>.</w:instrText>
      </w:r>
      <w:r w:rsidRPr="00AA1CA7">
        <w:rPr>
          <w:color w:val="000000"/>
          <w:lang w:val="en-US"/>
        </w:rPr>
        <w:instrText>REFLIST</w:instrText>
      </w:r>
      <w:r w:rsidRPr="00970AA5">
        <w:rPr>
          <w:color w:val="000000"/>
        </w:rPr>
        <w:instrText xml:space="preserve"> </w:instrText>
      </w:r>
      <w:r>
        <w:rPr>
          <w:color w:val="000000"/>
        </w:rPr>
        <w:fldChar w:fldCharType="separate"/>
      </w:r>
      <w:r w:rsidR="007811CB" w:rsidRPr="007811CB">
        <w:t>1. Luzyanin K. V.</w:t>
      </w:r>
      <w:r w:rsidR="00E42467">
        <w:t xml:space="preserve">, </w:t>
      </w:r>
      <w:r w:rsidR="00E42467">
        <w:rPr>
          <w:lang w:val="en-US"/>
        </w:rPr>
        <w:t>et</w:t>
      </w:r>
      <w:r w:rsidR="00E42467" w:rsidRPr="00970AA5">
        <w:t xml:space="preserve"> </w:t>
      </w:r>
      <w:r w:rsidR="00E42467">
        <w:rPr>
          <w:lang w:val="en-US"/>
        </w:rPr>
        <w:t>al</w:t>
      </w:r>
      <w:r w:rsidR="00E42467" w:rsidRPr="00970AA5">
        <w:t>.</w:t>
      </w:r>
      <w:r w:rsidR="007811CB" w:rsidRPr="007811CB">
        <w:t xml:space="preserve"> </w:t>
      </w:r>
      <w:r w:rsidR="007811CB" w:rsidRPr="00970AA5">
        <w:rPr>
          <w:lang w:val="en-US"/>
        </w:rPr>
        <w:t>Visible light accelerated hydrosilylation of alkynes using platinum–[acyclic diaminocarbene] photocatalysts // Chem. Commun. ‒ 2018. ‒ T. 54, № 68. ‒ C. 9450.</w:t>
      </w:r>
    </w:p>
    <w:p w14:paraId="5240F058" w14:textId="4E9923C2" w:rsidR="007811CB" w:rsidRPr="007811CB" w:rsidRDefault="007811CB" w:rsidP="007811CB">
      <w:pPr>
        <w:pStyle w:val="EndNoteBibliography"/>
      </w:pPr>
      <w:r w:rsidRPr="00970AA5">
        <w:rPr>
          <w:lang w:val="en-US"/>
        </w:rPr>
        <w:t>2. Kashina M. V., Kinzhalov M. A.</w:t>
      </w:r>
      <w:r w:rsidR="00E42467">
        <w:rPr>
          <w:lang w:val="en-US"/>
        </w:rPr>
        <w:t>, et al.</w:t>
      </w:r>
      <w:r w:rsidRPr="00970AA5">
        <w:rPr>
          <w:lang w:val="en-US"/>
        </w:rPr>
        <w:t xml:space="preserve"> Experimental and computational tuning of metalla-N-heterocyclic carbenes at palladium(</w:t>
      </w:r>
      <w:r w:rsidR="006C5CB6" w:rsidRPr="00970AA5">
        <w:rPr>
          <w:lang w:val="en-US"/>
        </w:rPr>
        <w:t>II</w:t>
      </w:r>
      <w:r w:rsidRPr="00970AA5">
        <w:rPr>
          <w:lang w:val="en-US"/>
        </w:rPr>
        <w:t>) and platinum(</w:t>
      </w:r>
      <w:r w:rsidR="006C5CB6" w:rsidRPr="00970AA5">
        <w:rPr>
          <w:lang w:val="en-US"/>
        </w:rPr>
        <w:t>II</w:t>
      </w:r>
      <w:r w:rsidRPr="00970AA5">
        <w:rPr>
          <w:lang w:val="en-US"/>
        </w:rPr>
        <w:t xml:space="preserve">) centers // Dalton Trans. </w:t>
      </w:r>
      <w:r w:rsidRPr="007811CB">
        <w:t>‒ 2022. ‒ T. 51, № 17. ‒ C. 6718.</w:t>
      </w:r>
    </w:p>
    <w:p w14:paraId="1D162498" w14:textId="2A205B8F" w:rsidR="0022544F" w:rsidRPr="00E4619B" w:rsidRDefault="00E4619B" w:rsidP="00E461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color w:val="000000"/>
        </w:rPr>
        <w:fldChar w:fldCharType="end"/>
      </w:r>
    </w:p>
    <w:sectPr w:rsidR="0022544F" w:rsidRPr="00E4619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903872">
    <w:abstractNumId w:val="0"/>
  </w:num>
  <w:num w:numId="2" w16cid:durableId="808017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GOST-Appearance-Ord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t9ddr2zk0zd5sex095p5zegpt09vp0pz2vr&quot;&gt;My EndNote Library&lt;record-ids&gt;&lt;item&gt;452&lt;/item&gt;&lt;item&gt;1024&lt;/item&gt;&lt;/record-ids&gt;&lt;/item&gt;&lt;/Libraries&gt;"/>
  </w:docVars>
  <w:rsids>
    <w:rsidRoot w:val="00130241"/>
    <w:rsid w:val="00063966"/>
    <w:rsid w:val="00086081"/>
    <w:rsid w:val="000C5BC1"/>
    <w:rsid w:val="00101A1C"/>
    <w:rsid w:val="00106375"/>
    <w:rsid w:val="00116478"/>
    <w:rsid w:val="00130241"/>
    <w:rsid w:val="001D1A46"/>
    <w:rsid w:val="001E61C2"/>
    <w:rsid w:val="001F0493"/>
    <w:rsid w:val="0022544F"/>
    <w:rsid w:val="002264EE"/>
    <w:rsid w:val="0023307C"/>
    <w:rsid w:val="002E21BB"/>
    <w:rsid w:val="0031361E"/>
    <w:rsid w:val="00387851"/>
    <w:rsid w:val="00391C38"/>
    <w:rsid w:val="003B76D6"/>
    <w:rsid w:val="004A26A3"/>
    <w:rsid w:val="004F0EDF"/>
    <w:rsid w:val="00517B1B"/>
    <w:rsid w:val="00522BF1"/>
    <w:rsid w:val="00537425"/>
    <w:rsid w:val="005501DD"/>
    <w:rsid w:val="00590166"/>
    <w:rsid w:val="006C5CB6"/>
    <w:rsid w:val="006F7A19"/>
    <w:rsid w:val="00775389"/>
    <w:rsid w:val="00781087"/>
    <w:rsid w:val="007811CB"/>
    <w:rsid w:val="00797838"/>
    <w:rsid w:val="007C36D8"/>
    <w:rsid w:val="007F2744"/>
    <w:rsid w:val="008931BE"/>
    <w:rsid w:val="008D0347"/>
    <w:rsid w:val="00921D45"/>
    <w:rsid w:val="009300A8"/>
    <w:rsid w:val="00970AA5"/>
    <w:rsid w:val="009A66DB"/>
    <w:rsid w:val="009B2F80"/>
    <w:rsid w:val="009B3300"/>
    <w:rsid w:val="009F3380"/>
    <w:rsid w:val="00A02163"/>
    <w:rsid w:val="00A314FE"/>
    <w:rsid w:val="00AA1CA7"/>
    <w:rsid w:val="00AE60BA"/>
    <w:rsid w:val="00B138FF"/>
    <w:rsid w:val="00BF36F8"/>
    <w:rsid w:val="00BF4622"/>
    <w:rsid w:val="00C25034"/>
    <w:rsid w:val="00C71F30"/>
    <w:rsid w:val="00CD00B1"/>
    <w:rsid w:val="00D0453B"/>
    <w:rsid w:val="00D22306"/>
    <w:rsid w:val="00D42542"/>
    <w:rsid w:val="00D62870"/>
    <w:rsid w:val="00D8121C"/>
    <w:rsid w:val="00D9298C"/>
    <w:rsid w:val="00DB79F7"/>
    <w:rsid w:val="00E22189"/>
    <w:rsid w:val="00E36D4A"/>
    <w:rsid w:val="00E42467"/>
    <w:rsid w:val="00E4619B"/>
    <w:rsid w:val="00E62D23"/>
    <w:rsid w:val="00E74069"/>
    <w:rsid w:val="00EA30C0"/>
    <w:rsid w:val="00EB1F49"/>
    <w:rsid w:val="00EC7B12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a"/>
    <w:link w:val="EndNoteBibliographyTitle0"/>
    <w:rsid w:val="00E4619B"/>
    <w:pPr>
      <w:jc w:val="center"/>
    </w:pPr>
    <w:rPr>
      <w:noProof/>
    </w:rPr>
  </w:style>
  <w:style w:type="character" w:customStyle="1" w:styleId="EndNoteBibliographyTitle0">
    <w:name w:val="EndNote Bibliography Title Знак"/>
    <w:basedOn w:val="a0"/>
    <w:link w:val="EndNoteBibliographyTitle"/>
    <w:rsid w:val="00E4619B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EndNoteBibliography">
    <w:name w:val="EndNote Bibliography"/>
    <w:basedOn w:val="a"/>
    <w:link w:val="EndNoteBibliography0"/>
    <w:rsid w:val="00E4619B"/>
    <w:pPr>
      <w:jc w:val="both"/>
    </w:pPr>
    <w:rPr>
      <w:noProof/>
    </w:rPr>
  </w:style>
  <w:style w:type="character" w:customStyle="1" w:styleId="EndNoteBibliography0">
    <w:name w:val="EndNote Bibliography Знак"/>
    <w:basedOn w:val="a0"/>
    <w:link w:val="EndNoteBibliography"/>
    <w:rsid w:val="00E4619B"/>
    <w:rPr>
      <w:rFonts w:ascii="Times New Roman" w:eastAsia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517ABDD-56B9-45D5-9AFE-069A4BA3C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Кашина</dc:creator>
  <cp:lastModifiedBy>Мария Кашина</cp:lastModifiedBy>
  <cp:revision>10</cp:revision>
  <dcterms:created xsi:type="dcterms:W3CDTF">2023-02-13T12:28:00Z</dcterms:created>
  <dcterms:modified xsi:type="dcterms:W3CDTF">2023-02-15T14:56:00Z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