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jc w:val="center"/>
        <w:rPr/>
      </w:pPr>
      <w:r w:rsidDel="00000000" w:rsidR="00000000" w:rsidRPr="00000000">
        <w:rPr>
          <w:b w:val="1"/>
          <w:rtl w:val="0"/>
        </w:rPr>
        <w:t xml:space="preserve">Синтез и свойства карбонатапатитов с различной морфологией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b w:val="1"/>
        </w:rPr>
      </w:pPr>
      <w:r w:rsidDel="00000000" w:rsidR="00000000" w:rsidRPr="00000000">
        <w:rPr>
          <w:b w:val="1"/>
          <w:i w:val="1"/>
          <w:rtl w:val="0"/>
        </w:rPr>
        <w:t xml:space="preserve">Рындык М.П.,</w:t>
      </w:r>
      <w:r w:rsidDel="00000000" w:rsidR="00000000" w:rsidRPr="00000000">
        <w:rPr>
          <w:b w:val="1"/>
          <w:i w:val="1"/>
          <w:vertAlign w:val="superscript"/>
          <w:rtl w:val="0"/>
        </w:rPr>
        <w:t xml:space="preserve">1,2</w:t>
      </w:r>
      <w:r w:rsidDel="00000000" w:rsidR="00000000" w:rsidRPr="00000000">
        <w:rPr>
          <w:b w:val="1"/>
          <w:i w:val="1"/>
          <w:rtl w:val="0"/>
        </w:rPr>
        <w:t xml:space="preserve"> Кретов Е.А.</w:t>
      </w:r>
      <w:r w:rsidDel="00000000" w:rsidR="00000000" w:rsidRPr="00000000">
        <w:rPr>
          <w:b w:val="1"/>
          <w:i w:val="1"/>
          <w:vertAlign w:val="superscript"/>
          <w:rtl w:val="0"/>
        </w:rPr>
        <w:t xml:space="preserve">1,2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vertAlign w:val="superscript"/>
        </w:rPr>
      </w:pPr>
      <w:r w:rsidDel="00000000" w:rsidR="00000000" w:rsidRPr="00000000">
        <w:rPr>
          <w:i w:val="1"/>
          <w:rtl w:val="0"/>
        </w:rPr>
        <w:t xml:space="preserve">Студент, 3 курс бакалавриата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/>
      </w:pPr>
      <w:r w:rsidDel="00000000" w:rsidR="00000000" w:rsidRPr="00000000">
        <w:rPr>
          <w:i w:val="1"/>
          <w:vertAlign w:val="superscript"/>
          <w:rtl w:val="0"/>
        </w:rPr>
        <w:t xml:space="preserve">1</w:t>
      </w:r>
      <w:r w:rsidDel="00000000" w:rsidR="00000000" w:rsidRPr="00000000">
        <w:rPr>
          <w:i w:val="1"/>
          <w:rtl w:val="0"/>
        </w:rPr>
        <w:t xml:space="preserve">Институт</w:t>
      </w:r>
      <w:r w:rsidDel="00000000" w:rsidR="00000000" w:rsidRPr="00000000">
        <w:rPr>
          <w:i w:val="1"/>
          <w:rtl w:val="0"/>
        </w:rPr>
        <w:t xml:space="preserve"> нефтехимического синтеза им. А. В. Топчиева РАН, Москва,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jc w:val="center"/>
        <w:rPr/>
      </w:pPr>
      <w:r w:rsidDel="00000000" w:rsidR="00000000" w:rsidRPr="00000000">
        <w:rPr>
          <w:i w:val="1"/>
          <w:vertAlign w:val="superscript"/>
          <w:rtl w:val="0"/>
        </w:rPr>
        <w:t xml:space="preserve">2</w:t>
      </w:r>
      <w:r w:rsidDel="00000000" w:rsidR="00000000" w:rsidRPr="00000000">
        <w:rPr>
          <w:i w:val="1"/>
          <w:rtl w:val="0"/>
        </w:rPr>
        <w:t xml:space="preserve">Национальный</w:t>
      </w:r>
      <w:r w:rsidDel="00000000" w:rsidR="00000000" w:rsidRPr="00000000">
        <w:rPr>
          <w:i w:val="1"/>
          <w:rtl w:val="0"/>
        </w:rPr>
        <w:t xml:space="preserve"> исследовательский университет “Высшая школа экономики”, факультет химии, Москва,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jc w:val="center"/>
        <w:rPr/>
      </w:pPr>
      <w:r w:rsidDel="00000000" w:rsidR="00000000" w:rsidRPr="00000000">
        <w:rPr>
          <w:i w:val="1"/>
          <w:rtl w:val="0"/>
        </w:rPr>
        <w:t xml:space="preserve">E-mail: </w:t>
      </w:r>
      <w:hyperlink r:id="rId7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mpryndyk@edu.hse.ru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Создание эффективных синтетических материалов для костной хирургии является актуальной задачей. Считается, что неорганической основой костной ткани является гидроксиапатит (HAp). Именно поэтому HAp наряду с α- и β-трикальцийфосфатами (TCP) широко применяется для костного протезирования. Фундаментальным недостатком этих фаз является неудовлетворительная скорость резорбции, слишком высокая для TCP и слишком низкая для HAp. Возможное решение проблемы основано на использовании карбонизированных апатитов, в которых часть анионов замещена карбонат-анионами (carbonated apatite либо carbonated hydroxyapatite CAp). Эти композиционно неоднородные вещества демонстрируют скорость резорбции, промежуточную между HAp и TCP и приемлемую биосовместимость. В 2017 году использование CAp было одобрено в Японии [1], однако химическая и морфологическая неоднородность CAp существенно ограничивает перспективы их широкого применения в медицине.</w:t>
      </w:r>
    </w:p>
    <w:p w:rsidR="00000000" w:rsidDel="00000000" w:rsidP="00000000" w:rsidRDefault="00000000" w:rsidRPr="00000000" w14:paraId="00000008">
      <w:pP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Целями настоящего исследования являлись разработка метода синтеза морфологически однородного САp,  исследование особенностей его резорбции </w:t>
      </w:r>
      <w:r w:rsidDel="00000000" w:rsidR="00000000" w:rsidRPr="00000000">
        <w:rPr>
          <w:i w:val="1"/>
          <w:rtl w:val="0"/>
        </w:rPr>
        <w:t xml:space="preserve">in vitro</w:t>
      </w:r>
      <w:r w:rsidDel="00000000" w:rsidR="00000000" w:rsidRPr="00000000">
        <w:rPr>
          <w:rtl w:val="0"/>
        </w:rPr>
        <w:t xml:space="preserve"> и </w:t>
      </w:r>
      <w:r w:rsidDel="00000000" w:rsidR="00000000" w:rsidRPr="00000000">
        <w:rPr>
          <w:i w:val="1"/>
          <w:rtl w:val="0"/>
        </w:rPr>
        <w:t xml:space="preserve">in vivo</w:t>
      </w:r>
      <w:r w:rsidDel="00000000" w:rsidR="00000000" w:rsidRPr="00000000">
        <w:rPr>
          <w:rtl w:val="0"/>
        </w:rPr>
        <w:t xml:space="preserve">, а также изучение биосовместимости. Взаимодействием Ca[EDTA], NaHCO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/Na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CO</w:t>
      </w:r>
      <w:r w:rsidDel="00000000" w:rsidR="00000000" w:rsidRPr="00000000">
        <w:rPr>
          <w:vertAlign w:val="subscript"/>
          <w:rtl w:val="0"/>
        </w:rPr>
        <w:t xml:space="preserve">3 </w:t>
      </w:r>
      <w:r w:rsidDel="00000000" w:rsidR="00000000" w:rsidRPr="00000000">
        <w:rPr>
          <w:rtl w:val="0"/>
        </w:rPr>
        <w:t xml:space="preserve">и NaH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PO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/Na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HPO</w:t>
      </w:r>
      <w:r w:rsidDel="00000000" w:rsidR="00000000" w:rsidRPr="00000000">
        <w:rPr>
          <w:vertAlign w:val="subscript"/>
          <w:rtl w:val="0"/>
        </w:rPr>
        <w:t xml:space="preserve">4 </w:t>
      </w:r>
      <w:r w:rsidDel="00000000" w:rsidR="00000000" w:rsidRPr="00000000">
        <w:rPr>
          <w:rtl w:val="0"/>
        </w:rPr>
        <w:t xml:space="preserve">в гидротермальных условиях при температуре 120–160 °C нами были синтезированы микроразмерные узкодисперсные карбонатапатиты пластинчатой (CAp-P) и гексагональной морфологии  (CAp-H) [2]. Состав и строение полученных соединений были изучены методами XRD, FT-IR, EDX. Термохимические свойства были исследованы методами DSC и TGA. Мы показали, что CAp-P и CAp-H демонстрируют скорость резорбции </w:t>
      </w:r>
      <w:r w:rsidDel="00000000" w:rsidR="00000000" w:rsidRPr="00000000">
        <w:rPr>
          <w:i w:val="1"/>
          <w:rtl w:val="0"/>
        </w:rPr>
        <w:t xml:space="preserve">in vitro</w:t>
      </w:r>
      <w:r w:rsidDel="00000000" w:rsidR="00000000" w:rsidRPr="00000000">
        <w:rPr>
          <w:rtl w:val="0"/>
        </w:rPr>
        <w:t xml:space="preserve"> и </w:t>
      </w:r>
      <w:r w:rsidDel="00000000" w:rsidR="00000000" w:rsidRPr="00000000">
        <w:rPr>
          <w:i w:val="1"/>
          <w:rtl w:val="0"/>
        </w:rPr>
        <w:t xml:space="preserve">in vivo</w:t>
      </w:r>
      <w:r w:rsidDel="00000000" w:rsidR="00000000" w:rsidRPr="00000000">
        <w:rPr>
          <w:rtl w:val="0"/>
        </w:rPr>
        <w:t xml:space="preserve">, промежуточную между </w:t>
      </w:r>
      <w:r w:rsidDel="00000000" w:rsidR="00000000" w:rsidRPr="00000000">
        <w:rPr>
          <w:rtl w:val="0"/>
        </w:rPr>
        <w:t xml:space="preserve">HAр и TCP, и превосходную биосовместимость.</w:t>
      </w:r>
      <w:r w:rsidDel="00000000" w:rsidR="00000000" w:rsidRPr="00000000">
        <w:rPr>
          <w:rtl w:val="0"/>
        </w:rPr>
        <w:t xml:space="preserve"> Химическая природа резорбции, а также предполагаемые причины повышенной биосовместимости CAp-P и CAp-H также обсуждаются в докладе.</w:t>
      </w:r>
    </w:p>
    <w:p w:rsidR="00000000" w:rsidDel="00000000" w:rsidP="00000000" w:rsidRDefault="00000000" w:rsidRPr="00000000" w14:paraId="00000009">
      <w:pP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Результаты настоящей работы будут применены для создания отечественных имплантатов для костной хирургии и стоматологии.</w:t>
      </w:r>
    </w:p>
    <w:p w:rsidR="00000000" w:rsidDel="00000000" w:rsidP="00000000" w:rsidRDefault="00000000" w:rsidRPr="00000000" w14:paraId="0000000A">
      <w:pP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5832000" cy="1028700"/>
            <wp:effectExtent b="0" l="0" r="0" t="0"/>
            <wp:docPr id="929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102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Рис. 1. </w:t>
      </w: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 Карбонатапатит с пластинчатой морфологией, CAp-P; </w:t>
      </w:r>
      <w:r w:rsidDel="00000000" w:rsidR="00000000" w:rsidRPr="00000000">
        <w:rPr>
          <w:b w:val="1"/>
          <w:rtl w:val="0"/>
        </w:rPr>
        <w:t xml:space="preserve">В </w:t>
      </w:r>
      <w:r w:rsidDel="00000000" w:rsidR="00000000" w:rsidRPr="00000000">
        <w:rPr>
          <w:rtl w:val="0"/>
        </w:rPr>
        <w:t xml:space="preserve">Карбонатапатит с гексагональной морфологией, CAp-H; </w:t>
      </w:r>
      <w:r w:rsidDel="00000000" w:rsidR="00000000" w:rsidRPr="00000000">
        <w:rPr>
          <w:b w:val="1"/>
          <w:rtl w:val="0"/>
        </w:rPr>
        <w:t xml:space="preserve">С</w:t>
      </w:r>
      <w:r w:rsidDel="00000000" w:rsidR="00000000" w:rsidRPr="00000000">
        <w:rPr>
          <w:rtl w:val="0"/>
        </w:rPr>
        <w:t xml:space="preserve"> Сравнительная эффективность резорбции </w:t>
      </w:r>
      <w:r w:rsidDel="00000000" w:rsidR="00000000" w:rsidRPr="00000000">
        <w:rPr>
          <w:i w:val="1"/>
          <w:rtl w:val="0"/>
        </w:rPr>
        <w:t xml:space="preserve">in vivo</w:t>
      </w:r>
      <w:r w:rsidDel="00000000" w:rsidR="00000000" w:rsidRPr="00000000">
        <w:rPr>
          <w:rtl w:val="0"/>
        </w:rPr>
        <w:t xml:space="preserve"> для  HAp, β-TCP, CAp-H, CAp-P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ind w:firstLine="397"/>
        <w:jc w:val="both"/>
        <w:rPr/>
      </w:pPr>
      <w:r w:rsidDel="00000000" w:rsidR="00000000" w:rsidRPr="00000000">
        <w:rPr>
          <w:i w:val="1"/>
          <w:rtl w:val="0"/>
        </w:rPr>
        <w:t xml:space="preserve">Работа выполнена при поддержке РНФ, грант 21-73-30010.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1. Hayashi K., et al. Honeycombs Composed of Carbonate Apatite, Hydroxyapatite, and β-Tricalcium Phosphate as Bone Graft Substitutes: Effects of Composition on Bone Formation and Maturation // ACS Appl. Bio Mater. 2020. Vol 3. No 3. P. 1787–1795</w:t>
      </w:r>
    </w:p>
    <w:p w:rsidR="00000000" w:rsidDel="00000000" w:rsidP="00000000" w:rsidRDefault="00000000" w:rsidRPr="00000000" w14:paraId="00000010">
      <w:pPr>
        <w:shd w:fill="ffffff" w:val="clear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2. Nifant'ev I.E., Kretov E.A. et al.  Hydrothermal synthesis of perfectly shaped micro- and nanosized carbonated apatite // Inorg. Chem. Front</w:t>
      </w:r>
      <w:r w:rsidDel="00000000" w:rsidR="00000000" w:rsidRPr="00000000">
        <w:rPr>
          <w:i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2021. Vol. 8. P. 4976–4989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360.6299212598426" w:right="1360.6299212598426" w:header="1133.8582677165355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391C38"/>
    <w:rPr>
      <w:rFonts w:ascii="Times New Roman" w:cs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 w:val="1"/>
    <w:rsid w:val="00106375"/>
    <w:pPr>
      <w:ind w:left="720"/>
      <w:contextualSpacing w:val="1"/>
    </w:pPr>
  </w:style>
  <w:style w:type="character" w:styleId="a6" w:customStyle="1">
    <w:name w:val="Абзац списка Знак"/>
    <w:basedOn w:val="a0"/>
    <w:link w:val="a5"/>
    <w:uiPriority w:val="34"/>
    <w:locked w:val="1"/>
    <w:rsid w:val="004A26A3"/>
  </w:style>
  <w:style w:type="character" w:styleId="a7">
    <w:name w:val="Placeholder Text"/>
    <w:basedOn w:val="a0"/>
    <w:uiPriority w:val="99"/>
    <w:semiHidden w:val="1"/>
    <w:rsid w:val="00E22189"/>
    <w:rPr>
      <w:color w:val="808080"/>
    </w:rPr>
  </w:style>
  <w:style w:type="paragraph" w:styleId="a8">
    <w:name w:val="No Spacing"/>
    <w:uiPriority w:val="1"/>
    <w:qFormat w:val="1"/>
    <w:rsid w:val="00FF1903"/>
    <w:rPr>
      <w:rFonts w:cs="Times New Roman"/>
      <w:sz w:val="22"/>
      <w:szCs w:val="22"/>
      <w:lang w:bidi="en-US" w:eastAsia="en-US" w:val="en-US"/>
    </w:rPr>
  </w:style>
  <w:style w:type="character" w:styleId="a9">
    <w:name w:val="Hyperlink"/>
    <w:basedOn w:val="a0"/>
    <w:uiPriority w:val="99"/>
    <w:unhideWhenUsed w:val="1"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 w:val="1"/>
    <w:unhideWhenUsed w:val="1"/>
    <w:rsid w:val="00F865B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pryndyk@edu.hse.ru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hSncUNEA6aU9meD33VKtwB4a+fQ==">AMUW2mVHwh6PPPdJ71O6DAGkeiicWB0DIQcQijkqOW13TIXMSDJReOOkHVai+t1Ikkij0ltgSzv93d26WvYUIxy2e46T9Zde5wcQGDqXEh/rJAk9MclDTaQ=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2022-11-07T09:18:00Z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