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61D8" w14:textId="77777777" w:rsidR="00D003BC" w:rsidRPr="008D5AFA" w:rsidRDefault="00D003BC" w:rsidP="00D003BC">
      <w:pPr>
        <w:jc w:val="center"/>
        <w:rPr>
          <w:color w:val="000000" w:themeColor="text1"/>
        </w:rPr>
      </w:pPr>
      <w:r w:rsidRPr="008D5AFA">
        <w:rPr>
          <w:b/>
          <w:color w:val="000000" w:themeColor="text1"/>
        </w:rPr>
        <w:t>Структурные превращения соединений состава Na</w:t>
      </w:r>
      <w:r w:rsidRPr="008D5AFA">
        <w:rPr>
          <w:b/>
          <w:color w:val="000000" w:themeColor="text1"/>
          <w:vertAlign w:val="subscript"/>
        </w:rPr>
        <w:t>3+x</w:t>
      </w:r>
      <w:r w:rsidRPr="008D5AFA">
        <w:rPr>
          <w:b/>
          <w:color w:val="000000" w:themeColor="text1"/>
        </w:rPr>
        <w:t>V</w:t>
      </w:r>
      <w:r w:rsidRPr="008D5AFA">
        <w:rPr>
          <w:b/>
          <w:color w:val="000000" w:themeColor="text1"/>
          <w:vertAlign w:val="subscript"/>
        </w:rPr>
        <w:t>2-</w:t>
      </w:r>
      <w:proofErr w:type="gramStart"/>
      <w:r w:rsidRPr="008D5AFA">
        <w:rPr>
          <w:b/>
          <w:color w:val="000000" w:themeColor="text1"/>
          <w:vertAlign w:val="subscript"/>
        </w:rPr>
        <w:t>x</w:t>
      </w:r>
      <w:r w:rsidRPr="008D5AFA">
        <w:rPr>
          <w:b/>
          <w:color w:val="000000" w:themeColor="text1"/>
        </w:rPr>
        <w:t>Me</w:t>
      </w:r>
      <w:r w:rsidRPr="008D5AFA">
        <w:rPr>
          <w:b/>
          <w:color w:val="000000" w:themeColor="text1"/>
          <w:vertAlign w:val="subscript"/>
        </w:rPr>
        <w:t>x</w:t>
      </w:r>
      <w:r w:rsidRPr="008D5AFA">
        <w:rPr>
          <w:b/>
          <w:color w:val="000000" w:themeColor="text1"/>
        </w:rPr>
        <w:t>(</w:t>
      </w:r>
      <w:proofErr w:type="gramEnd"/>
      <w:r w:rsidRPr="008D5AFA">
        <w:rPr>
          <w:b/>
          <w:color w:val="000000" w:themeColor="text1"/>
        </w:rPr>
        <w:t>PO</w:t>
      </w:r>
      <w:r w:rsidRPr="008D5AFA">
        <w:rPr>
          <w:b/>
          <w:color w:val="000000" w:themeColor="text1"/>
          <w:vertAlign w:val="subscript"/>
        </w:rPr>
        <w:t>4</w:t>
      </w:r>
      <w:r w:rsidRPr="008D5AFA">
        <w:rPr>
          <w:b/>
          <w:color w:val="000000" w:themeColor="text1"/>
        </w:rPr>
        <w:t>)</w:t>
      </w:r>
      <w:r w:rsidRPr="008D5AFA">
        <w:rPr>
          <w:b/>
          <w:color w:val="000000" w:themeColor="text1"/>
          <w:vertAlign w:val="subscript"/>
        </w:rPr>
        <w:t>3</w:t>
      </w:r>
      <w:r w:rsidRPr="008D5AFA">
        <w:rPr>
          <w:b/>
          <w:color w:val="000000" w:themeColor="text1"/>
        </w:rPr>
        <w:t xml:space="preserve"> </w:t>
      </w:r>
      <w:r w:rsidRPr="008D5AFA">
        <w:rPr>
          <w:b/>
          <w:color w:val="000000" w:themeColor="text1"/>
        </w:rPr>
        <w:br/>
        <w:t xml:space="preserve">(Me = </w:t>
      </w:r>
      <w:proofErr w:type="spellStart"/>
      <w:r w:rsidRPr="008D5AFA">
        <w:rPr>
          <w:b/>
          <w:color w:val="000000" w:themeColor="text1"/>
        </w:rPr>
        <w:t>Mn</w:t>
      </w:r>
      <w:proofErr w:type="spellEnd"/>
      <w:r w:rsidRPr="008D5AFA">
        <w:rPr>
          <w:b/>
          <w:color w:val="000000" w:themeColor="text1"/>
        </w:rPr>
        <w:t xml:space="preserve">, </w:t>
      </w:r>
      <w:proofErr w:type="spellStart"/>
      <w:r w:rsidRPr="008D5AFA">
        <w:rPr>
          <w:b/>
          <w:color w:val="000000" w:themeColor="text1"/>
        </w:rPr>
        <w:t>Mg</w:t>
      </w:r>
      <w:proofErr w:type="spellEnd"/>
      <w:r w:rsidRPr="008D5AFA">
        <w:rPr>
          <w:b/>
          <w:color w:val="000000" w:themeColor="text1"/>
        </w:rPr>
        <w:t>, x = 0,5, 1) при (де)интеркаляции натрия</w:t>
      </w:r>
    </w:p>
    <w:p w14:paraId="32F88AAA" w14:textId="77777777" w:rsidR="00D003BC" w:rsidRPr="008D5AFA" w:rsidRDefault="00D003BC" w:rsidP="00D003BC">
      <w:pPr>
        <w:shd w:val="clear" w:color="auto" w:fill="FFFFFF"/>
        <w:jc w:val="center"/>
        <w:rPr>
          <w:b/>
          <w:bCs/>
          <w:i/>
          <w:iCs/>
          <w:color w:val="000000" w:themeColor="text1"/>
          <w:vertAlign w:val="superscript"/>
        </w:rPr>
      </w:pPr>
      <w:r w:rsidRPr="008D5AFA">
        <w:rPr>
          <w:b/>
          <w:bCs/>
          <w:i/>
          <w:iCs/>
          <w:color w:val="000000" w:themeColor="text1"/>
        </w:rPr>
        <w:t>Буряк Н.С.</w:t>
      </w:r>
      <w:r w:rsidRPr="008D5AFA">
        <w:rPr>
          <w:b/>
          <w:bCs/>
          <w:i/>
          <w:iCs/>
          <w:color w:val="000000" w:themeColor="text1"/>
          <w:vertAlign w:val="superscript"/>
        </w:rPr>
        <w:t>1</w:t>
      </w:r>
    </w:p>
    <w:p w14:paraId="03EC6484" w14:textId="77777777" w:rsidR="00D003BC" w:rsidRPr="008D5AFA" w:rsidRDefault="00D003BC" w:rsidP="00D003BC">
      <w:pPr>
        <w:jc w:val="center"/>
        <w:rPr>
          <w:i/>
          <w:iCs/>
          <w:color w:val="000000" w:themeColor="text1"/>
          <w:shd w:val="clear" w:color="auto" w:fill="FFFFFF"/>
        </w:rPr>
      </w:pPr>
      <w:r w:rsidRPr="008D5AFA">
        <w:rPr>
          <w:i/>
          <w:iCs/>
          <w:color w:val="000000" w:themeColor="text1"/>
          <w:shd w:val="clear" w:color="auto" w:fill="FFFFFF"/>
        </w:rPr>
        <w:t>Студент, 6 курс специалитета</w:t>
      </w:r>
    </w:p>
    <w:p w14:paraId="1ED8DDBE" w14:textId="77777777" w:rsidR="00D003BC" w:rsidRPr="008D5AFA" w:rsidRDefault="00D003BC" w:rsidP="00D003BC">
      <w:pPr>
        <w:jc w:val="center"/>
        <w:rPr>
          <w:i/>
          <w:iCs/>
          <w:color w:val="000000" w:themeColor="text1"/>
          <w:shd w:val="clear" w:color="auto" w:fill="FFFFFF"/>
        </w:rPr>
      </w:pPr>
      <w:r w:rsidRPr="008D5AFA">
        <w:rPr>
          <w:i/>
          <w:iCs/>
          <w:color w:val="000000" w:themeColor="text1"/>
          <w:shd w:val="clear" w:color="auto" w:fill="FFFFFF"/>
          <w:vertAlign w:val="superscript"/>
        </w:rPr>
        <w:t xml:space="preserve">1 </w:t>
      </w:r>
      <w:r w:rsidRPr="008D5AFA">
        <w:rPr>
          <w:i/>
          <w:iCs/>
          <w:color w:val="000000" w:themeColor="text1"/>
          <w:shd w:val="clear" w:color="auto" w:fill="FFFFFF"/>
        </w:rPr>
        <w:t>Московский Государственный Университет им. М.В. Ломоносова</w:t>
      </w:r>
      <w:r w:rsidRPr="008D5AFA">
        <w:rPr>
          <w:i/>
          <w:iCs/>
          <w:color w:val="000000" w:themeColor="text1"/>
          <w:shd w:val="clear" w:color="auto" w:fill="FFFFFF"/>
        </w:rPr>
        <w:br/>
        <w:t>Химический факультет, Москва, Россия.</w:t>
      </w:r>
    </w:p>
    <w:p w14:paraId="00BF87F0" w14:textId="77777777" w:rsidR="00D003BC" w:rsidRPr="00623F05" w:rsidRDefault="00D003BC" w:rsidP="00D003BC">
      <w:pPr>
        <w:shd w:val="clear" w:color="auto" w:fill="FFFFFF"/>
        <w:jc w:val="center"/>
        <w:rPr>
          <w:rStyle w:val="-"/>
          <w:i/>
          <w:color w:val="000000" w:themeColor="text1"/>
          <w:shd w:val="clear" w:color="auto" w:fill="FFFFFF"/>
          <w:lang w:val="en-US"/>
        </w:rPr>
      </w:pPr>
      <w:r w:rsidRPr="00623F05">
        <w:rPr>
          <w:rStyle w:val="-"/>
          <w:i/>
          <w:color w:val="000000" w:themeColor="text1"/>
          <w:u w:val="none"/>
          <w:shd w:val="clear" w:color="auto" w:fill="FFFFFF"/>
          <w:lang w:val="en-US"/>
        </w:rPr>
        <w:t>E-mail:</w:t>
      </w:r>
      <w:r w:rsidRPr="00623F05">
        <w:rPr>
          <w:rStyle w:val="-"/>
          <w:i/>
          <w:color w:val="000000" w:themeColor="text1"/>
          <w:shd w:val="clear" w:color="auto" w:fill="FFFFFF"/>
          <w:lang w:val="en-US"/>
        </w:rPr>
        <w:t xml:space="preserve"> </w:t>
      </w:r>
      <w:hyperlink r:id="rId6" w:tgtFrame="mailto:author1@university1.ru">
        <w:r w:rsidRPr="00623F05">
          <w:rPr>
            <w:i/>
            <w:color w:val="000000" w:themeColor="text1"/>
            <w:u w:val="single"/>
            <w:shd w:val="clear" w:color="auto" w:fill="FFFFFF"/>
            <w:lang w:val="en-US"/>
          </w:rPr>
          <w:t>nikita.buriak@chemistry.msu.ru</w:t>
        </w:r>
      </w:hyperlink>
    </w:p>
    <w:p w14:paraId="3E37B8C0" w14:textId="77777777" w:rsidR="00D003BC" w:rsidRPr="008D5AFA" w:rsidRDefault="00D003BC" w:rsidP="00D003BC">
      <w:pPr>
        <w:shd w:val="clear" w:color="auto" w:fill="FFFFFF"/>
        <w:ind w:firstLine="720"/>
        <w:jc w:val="both"/>
        <w:rPr>
          <w:color w:val="000000" w:themeColor="text1"/>
        </w:rPr>
      </w:pPr>
      <w:r w:rsidRPr="008D5AFA">
        <w:rPr>
          <w:color w:val="000000" w:themeColor="text1"/>
        </w:rPr>
        <w:t>Сложный фосфат состава Na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>V</w:t>
      </w:r>
      <w:r w:rsidRPr="008D5AFA">
        <w:rPr>
          <w:color w:val="000000" w:themeColor="text1"/>
          <w:vertAlign w:val="subscript"/>
        </w:rPr>
        <w:t>2</w:t>
      </w:r>
      <w:r w:rsidRPr="008D5AFA">
        <w:rPr>
          <w:color w:val="000000" w:themeColor="text1"/>
        </w:rPr>
        <w:t>(PO</w:t>
      </w:r>
      <w:r w:rsidRPr="008D5AFA">
        <w:rPr>
          <w:color w:val="000000" w:themeColor="text1"/>
          <w:vertAlign w:val="subscript"/>
        </w:rPr>
        <w:t>4</w:t>
      </w:r>
      <w:r w:rsidRPr="008D5AFA">
        <w:rPr>
          <w:color w:val="000000" w:themeColor="text1"/>
        </w:rPr>
        <w:t>)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 xml:space="preserve"> традиционно рассматривается в качестве перспективного катода для натрий-ионных аккумуляторов. Возможность </w:t>
      </w:r>
      <w:proofErr w:type="spellStart"/>
      <w:r w:rsidRPr="008D5AFA">
        <w:rPr>
          <w:color w:val="000000" w:themeColor="text1"/>
        </w:rPr>
        <w:t>деинтеркаляции</w:t>
      </w:r>
      <w:proofErr w:type="spellEnd"/>
      <w:r w:rsidRPr="008D5AFA">
        <w:rPr>
          <w:color w:val="000000" w:themeColor="text1"/>
        </w:rPr>
        <w:t xml:space="preserve"> более двух ионов натрия на формульную единицу может достигаться частичным замещением ванадия металлами в степени окисления 2+. Такие материалы составов Na</w:t>
      </w:r>
      <w:r w:rsidRPr="008D5AFA">
        <w:rPr>
          <w:color w:val="000000" w:themeColor="text1"/>
          <w:vertAlign w:val="subscript"/>
        </w:rPr>
        <w:t>3+x</w:t>
      </w:r>
      <w:r w:rsidRPr="008D5AFA">
        <w:rPr>
          <w:color w:val="000000" w:themeColor="text1"/>
        </w:rPr>
        <w:t>V</w:t>
      </w:r>
      <w:r w:rsidRPr="008D5AFA">
        <w:rPr>
          <w:color w:val="000000" w:themeColor="text1"/>
          <w:vertAlign w:val="subscript"/>
        </w:rPr>
        <w:t>2-</w:t>
      </w:r>
      <w:proofErr w:type="gramStart"/>
      <w:r w:rsidRPr="008D5AFA">
        <w:rPr>
          <w:color w:val="000000" w:themeColor="text1"/>
          <w:vertAlign w:val="subscript"/>
        </w:rPr>
        <w:t>x</w:t>
      </w:r>
      <w:r w:rsidRPr="008D5AFA">
        <w:rPr>
          <w:color w:val="000000" w:themeColor="text1"/>
        </w:rPr>
        <w:t>Me</w:t>
      </w:r>
      <w:r w:rsidRPr="008D5AFA">
        <w:rPr>
          <w:color w:val="000000" w:themeColor="text1"/>
          <w:vertAlign w:val="subscript"/>
        </w:rPr>
        <w:t>x</w:t>
      </w:r>
      <w:r w:rsidRPr="008D5AFA">
        <w:rPr>
          <w:color w:val="000000" w:themeColor="text1"/>
        </w:rPr>
        <w:t>(</w:t>
      </w:r>
      <w:proofErr w:type="gramEnd"/>
      <w:r w:rsidRPr="008D5AFA">
        <w:rPr>
          <w:color w:val="000000" w:themeColor="text1"/>
        </w:rPr>
        <w:t>PO</w:t>
      </w:r>
      <w:r w:rsidRPr="008D5AFA">
        <w:rPr>
          <w:color w:val="000000" w:themeColor="text1"/>
          <w:vertAlign w:val="subscript"/>
        </w:rPr>
        <w:t>4</w:t>
      </w:r>
      <w:r w:rsidRPr="008D5AFA">
        <w:rPr>
          <w:color w:val="000000" w:themeColor="text1"/>
        </w:rPr>
        <w:t>)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 xml:space="preserve"> (Me = </w:t>
      </w:r>
      <w:proofErr w:type="spellStart"/>
      <w:r w:rsidRPr="008D5AFA">
        <w:rPr>
          <w:color w:val="000000" w:themeColor="text1"/>
        </w:rPr>
        <w:t>Mn</w:t>
      </w:r>
      <w:proofErr w:type="spellEnd"/>
      <w:r w:rsidRPr="008D5AFA">
        <w:rPr>
          <w:color w:val="000000" w:themeColor="text1"/>
        </w:rPr>
        <w:t xml:space="preserve">, </w:t>
      </w:r>
      <w:proofErr w:type="spellStart"/>
      <w:r w:rsidRPr="008D5AFA">
        <w:rPr>
          <w:color w:val="000000" w:themeColor="text1"/>
        </w:rPr>
        <w:t>Mg</w:t>
      </w:r>
      <w:proofErr w:type="spellEnd"/>
      <w:r w:rsidRPr="008D5AFA">
        <w:rPr>
          <w:color w:val="000000" w:themeColor="text1"/>
        </w:rPr>
        <w:t>, x = 0,5, 1) демонстрируют структурную стабильность и сохранение ёмкости после многократных циклов заряда/разряда даже при высоких плотностях тока в диапазоне потенциалов 2,5-3,8 В относительно Na/Na</w:t>
      </w:r>
      <w:r w:rsidRPr="008D5AFA">
        <w:rPr>
          <w:color w:val="000000" w:themeColor="text1"/>
          <w:vertAlign w:val="superscript"/>
        </w:rPr>
        <w:t>+</w:t>
      </w:r>
      <w:r w:rsidRPr="008D5AFA">
        <w:rPr>
          <w:color w:val="000000" w:themeColor="text1"/>
        </w:rPr>
        <w:t>, однако обратимо извлекаются не более 2-х ионов натрия на формульную единицу.</w:t>
      </w:r>
    </w:p>
    <w:p w14:paraId="7AB77AE2" w14:textId="77777777" w:rsidR="00D003BC" w:rsidRPr="008D5AFA" w:rsidRDefault="00D003BC" w:rsidP="00D003BC">
      <w:pPr>
        <w:shd w:val="clear" w:color="auto" w:fill="FFFFFF"/>
        <w:ind w:firstLine="720"/>
        <w:jc w:val="both"/>
        <w:rPr>
          <w:color w:val="000000" w:themeColor="text1"/>
        </w:rPr>
      </w:pPr>
      <w:proofErr w:type="spellStart"/>
      <w:r w:rsidRPr="008D5AFA">
        <w:rPr>
          <w:color w:val="000000" w:themeColor="text1"/>
        </w:rPr>
        <w:t>Деинтеркаляция</w:t>
      </w:r>
      <w:proofErr w:type="spellEnd"/>
      <w:r w:rsidRPr="008D5AFA">
        <w:rPr>
          <w:color w:val="000000" w:themeColor="text1"/>
        </w:rPr>
        <w:t xml:space="preserve"> дополнительного количества ионов натрия, происходящая при увеличении анодного предела потенциала выше 3,8 В, приводит к потере емкости при многократном </w:t>
      </w:r>
      <w:proofErr w:type="spellStart"/>
      <w:r w:rsidRPr="008D5AFA">
        <w:rPr>
          <w:color w:val="000000" w:themeColor="text1"/>
        </w:rPr>
        <w:t>циклировании</w:t>
      </w:r>
      <w:proofErr w:type="spellEnd"/>
      <w:r w:rsidRPr="008D5AFA">
        <w:rPr>
          <w:color w:val="000000" w:themeColor="text1"/>
        </w:rPr>
        <w:t xml:space="preserve"> [2]. В случае Na</w:t>
      </w:r>
      <w:r w:rsidRPr="008D5AFA">
        <w:rPr>
          <w:color w:val="000000" w:themeColor="text1"/>
          <w:vertAlign w:val="subscript"/>
        </w:rPr>
        <w:t>4</w:t>
      </w:r>
      <w:proofErr w:type="gramStart"/>
      <w:r w:rsidRPr="008D5AFA">
        <w:rPr>
          <w:color w:val="000000" w:themeColor="text1"/>
        </w:rPr>
        <w:t>VMn(</w:t>
      </w:r>
      <w:proofErr w:type="gramEnd"/>
      <w:r w:rsidRPr="008D5AFA">
        <w:rPr>
          <w:color w:val="000000" w:themeColor="text1"/>
        </w:rPr>
        <w:t>PO</w:t>
      </w:r>
      <w:r w:rsidRPr="008D5AFA">
        <w:rPr>
          <w:color w:val="000000" w:themeColor="text1"/>
          <w:vertAlign w:val="subscript"/>
        </w:rPr>
        <w:t>4</w:t>
      </w:r>
      <w:r w:rsidRPr="008D5AFA">
        <w:rPr>
          <w:color w:val="000000" w:themeColor="text1"/>
        </w:rPr>
        <w:t>)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 xml:space="preserve">, это коррелирует со снижением значений констант скорости переноса заряда и коэффициента диффузии ионов натрия, что, по-видимому, вызвано образованием аморфной фазы при потенциалах выше 3,8 В [1]. Тем не менее, для материалов с меньшей степенью замещения ванадия, процесс деградации, который происходит при увеличении анодного предела, обратим в широком окне потенциалов 1,0 – 4,4 В. После разряда до 1,0 В форма гальваностатических кривых возвращается к исходному состоянию. Кроме того, стабильность </w:t>
      </w:r>
      <w:proofErr w:type="spellStart"/>
      <w:r w:rsidRPr="008D5AFA">
        <w:rPr>
          <w:color w:val="000000" w:themeColor="text1"/>
        </w:rPr>
        <w:t>циклирования</w:t>
      </w:r>
      <w:proofErr w:type="spellEnd"/>
      <w:r w:rsidRPr="008D5AFA">
        <w:rPr>
          <w:color w:val="000000" w:themeColor="text1"/>
        </w:rPr>
        <w:t xml:space="preserve"> Na</w:t>
      </w:r>
      <w:r w:rsidRPr="008D5AFA">
        <w:rPr>
          <w:color w:val="000000" w:themeColor="text1"/>
          <w:vertAlign w:val="subscript"/>
        </w:rPr>
        <w:t>3.5</w:t>
      </w:r>
      <w:r w:rsidRPr="008D5AFA">
        <w:rPr>
          <w:color w:val="000000" w:themeColor="text1"/>
        </w:rPr>
        <w:t>V</w:t>
      </w:r>
      <w:r w:rsidRPr="008D5AFA">
        <w:rPr>
          <w:color w:val="000000" w:themeColor="text1"/>
          <w:vertAlign w:val="subscript"/>
        </w:rPr>
        <w:t>1.5</w:t>
      </w:r>
      <w:r w:rsidRPr="008D5AFA">
        <w:rPr>
          <w:color w:val="000000" w:themeColor="text1"/>
        </w:rPr>
        <w:t>Me</w:t>
      </w:r>
      <w:r w:rsidRPr="008D5AFA">
        <w:rPr>
          <w:color w:val="000000" w:themeColor="text1"/>
          <w:vertAlign w:val="subscript"/>
        </w:rPr>
        <w:t>0.5</w:t>
      </w:r>
      <w:r w:rsidRPr="008D5AFA">
        <w:rPr>
          <w:color w:val="000000" w:themeColor="text1"/>
        </w:rPr>
        <w:t>(PO</w:t>
      </w:r>
      <w:r w:rsidRPr="008D5AFA">
        <w:rPr>
          <w:color w:val="000000" w:themeColor="text1"/>
          <w:vertAlign w:val="subscript"/>
        </w:rPr>
        <w:t>4</w:t>
      </w:r>
      <w:r w:rsidRPr="008D5AFA">
        <w:rPr>
          <w:color w:val="000000" w:themeColor="text1"/>
        </w:rPr>
        <w:t>)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 xml:space="preserve"> (Me = </w:t>
      </w:r>
      <w:proofErr w:type="spellStart"/>
      <w:r w:rsidRPr="008D5AFA">
        <w:rPr>
          <w:color w:val="000000" w:themeColor="text1"/>
        </w:rPr>
        <w:t>Mn</w:t>
      </w:r>
      <w:proofErr w:type="spellEnd"/>
      <w:r w:rsidRPr="008D5AFA">
        <w:rPr>
          <w:color w:val="000000" w:themeColor="text1"/>
        </w:rPr>
        <w:t xml:space="preserve">, </w:t>
      </w:r>
      <w:proofErr w:type="spellStart"/>
      <w:r w:rsidRPr="008D5AFA">
        <w:rPr>
          <w:color w:val="000000" w:themeColor="text1"/>
        </w:rPr>
        <w:t>Mg</w:t>
      </w:r>
      <w:proofErr w:type="spellEnd"/>
      <w:r w:rsidRPr="008D5AFA">
        <w:rPr>
          <w:color w:val="000000" w:themeColor="text1"/>
        </w:rPr>
        <w:t xml:space="preserve">) в расширенном диапазоне потенциалов 1,0 – 4,4 В сопоставима с 2,5-3,8 В, что подтверждается результатами </w:t>
      </w:r>
      <w:proofErr w:type="spellStart"/>
      <w:r w:rsidRPr="008D5AFA">
        <w:rPr>
          <w:i/>
          <w:color w:val="000000" w:themeColor="text1"/>
        </w:rPr>
        <w:t>operando</w:t>
      </w:r>
      <w:proofErr w:type="spellEnd"/>
      <w:r w:rsidRPr="008D5AFA">
        <w:rPr>
          <w:color w:val="000000" w:themeColor="text1"/>
        </w:rPr>
        <w:t xml:space="preserve"> дифракционных экспериментов.</w:t>
      </w:r>
    </w:p>
    <w:p w14:paraId="6BF227D6" w14:textId="77777777" w:rsidR="00D003BC" w:rsidRPr="008D5AFA" w:rsidRDefault="00D003BC" w:rsidP="00D003BC">
      <w:pPr>
        <w:shd w:val="clear" w:color="auto" w:fill="FFFFFF"/>
        <w:ind w:firstLine="720"/>
        <w:jc w:val="both"/>
        <w:rPr>
          <w:color w:val="000000" w:themeColor="text1"/>
        </w:rPr>
      </w:pPr>
      <w:proofErr w:type="spellStart"/>
      <w:r w:rsidRPr="008D5AFA">
        <w:rPr>
          <w:i/>
          <w:iCs/>
          <w:color w:val="000000" w:themeColor="text1"/>
        </w:rPr>
        <w:t>Ex</w:t>
      </w:r>
      <w:proofErr w:type="spellEnd"/>
      <w:r w:rsidRPr="008D5AFA">
        <w:rPr>
          <w:i/>
          <w:iCs/>
          <w:color w:val="000000" w:themeColor="text1"/>
        </w:rPr>
        <w:t xml:space="preserve"> </w:t>
      </w:r>
      <w:proofErr w:type="spellStart"/>
      <w:r w:rsidRPr="008D5AFA">
        <w:rPr>
          <w:i/>
          <w:iCs/>
          <w:color w:val="000000" w:themeColor="text1"/>
        </w:rPr>
        <w:t>situ</w:t>
      </w:r>
      <w:proofErr w:type="spellEnd"/>
      <w:r w:rsidRPr="008D5AFA">
        <w:rPr>
          <w:color w:val="000000" w:themeColor="text1"/>
        </w:rPr>
        <w:t xml:space="preserve"> дифракционные исследования электродов на основе Na</w:t>
      </w:r>
      <w:r w:rsidRPr="008D5AFA">
        <w:rPr>
          <w:color w:val="000000" w:themeColor="text1"/>
          <w:vertAlign w:val="subscript"/>
        </w:rPr>
        <w:t>4</w:t>
      </w:r>
      <w:proofErr w:type="gramStart"/>
      <w:r w:rsidRPr="008D5AFA">
        <w:rPr>
          <w:color w:val="000000" w:themeColor="text1"/>
        </w:rPr>
        <w:t>MnV(</w:t>
      </w:r>
      <w:proofErr w:type="gramEnd"/>
      <w:r w:rsidRPr="008D5AFA">
        <w:rPr>
          <w:color w:val="000000" w:themeColor="text1"/>
        </w:rPr>
        <w:t>PO</w:t>
      </w:r>
      <w:r w:rsidRPr="008D5AFA">
        <w:rPr>
          <w:color w:val="000000" w:themeColor="text1"/>
          <w:vertAlign w:val="subscript"/>
        </w:rPr>
        <w:t>4</w:t>
      </w:r>
      <w:r w:rsidRPr="008D5AFA">
        <w:rPr>
          <w:color w:val="000000" w:themeColor="text1"/>
        </w:rPr>
        <w:t>)</w:t>
      </w:r>
      <w:r w:rsidRPr="008D5AFA">
        <w:rPr>
          <w:color w:val="000000" w:themeColor="text1"/>
          <w:vertAlign w:val="subscript"/>
        </w:rPr>
        <w:t>3</w:t>
      </w:r>
      <w:r w:rsidRPr="008D5AFA">
        <w:rPr>
          <w:color w:val="000000" w:themeColor="text1"/>
        </w:rPr>
        <w:t xml:space="preserve"> показало, что снижение емкости при </w:t>
      </w:r>
      <w:proofErr w:type="spellStart"/>
      <w:r w:rsidRPr="008D5AFA">
        <w:rPr>
          <w:color w:val="000000" w:themeColor="text1"/>
        </w:rPr>
        <w:t>циклировании</w:t>
      </w:r>
      <w:proofErr w:type="spellEnd"/>
      <w:r w:rsidRPr="008D5AFA">
        <w:rPr>
          <w:color w:val="000000" w:themeColor="text1"/>
        </w:rPr>
        <w:t xml:space="preserve"> с пределом анодного потенциала выше 4,1 В сопровождается увеличением доли аморфной фазы в материале, а гистерезис обусловлен термодинамической нестабильностью обеднённого натрием материала, а не кинетическими ограничениями из-за необратимых структурных изменений. Показано, что тенденции в изменении электрохимических характеристик сопоставимы для одинаковых степеней замещения ванадия магнием и марганцем.</w:t>
      </w:r>
    </w:p>
    <w:p w14:paraId="43EF20C6" w14:textId="77777777" w:rsidR="00D003BC" w:rsidRPr="008D5AFA" w:rsidRDefault="00D003BC" w:rsidP="00D003BC">
      <w:pPr>
        <w:shd w:val="clear" w:color="auto" w:fill="FFFFFF"/>
        <w:ind w:firstLine="720"/>
        <w:jc w:val="both"/>
        <w:rPr>
          <w:i/>
          <w:iCs/>
          <w:color w:val="000000" w:themeColor="text1"/>
        </w:rPr>
      </w:pPr>
      <w:r w:rsidRPr="008D5AFA">
        <w:rPr>
          <w:i/>
          <w:iCs/>
          <w:color w:val="000000" w:themeColor="text1"/>
        </w:rPr>
        <w:t>Исследование проводилось при поддержке Российского Научного Фонда (грант № 17-73-30006-П).</w:t>
      </w:r>
    </w:p>
    <w:p w14:paraId="47C9124A" w14:textId="77777777" w:rsidR="00D003BC" w:rsidRPr="008D5AFA" w:rsidRDefault="00D003BC" w:rsidP="00D003BC">
      <w:pPr>
        <w:shd w:val="clear" w:color="auto" w:fill="FFFFFF"/>
        <w:ind w:firstLine="720"/>
        <w:jc w:val="center"/>
        <w:rPr>
          <w:b/>
          <w:bCs/>
          <w:color w:val="000000" w:themeColor="text1"/>
        </w:rPr>
      </w:pPr>
      <w:r w:rsidRPr="008D5AFA">
        <w:rPr>
          <w:b/>
          <w:bCs/>
          <w:color w:val="000000" w:themeColor="text1"/>
        </w:rPr>
        <w:t>Литература</w:t>
      </w:r>
    </w:p>
    <w:p w14:paraId="07CF69DE" w14:textId="77777777" w:rsidR="00D003BC" w:rsidRPr="008D5AFA" w:rsidRDefault="00D003BC" w:rsidP="00D003BC">
      <w:pPr>
        <w:pStyle w:val="p1"/>
        <w:numPr>
          <w:ilvl w:val="0"/>
          <w:numId w:val="3"/>
        </w:numPr>
        <w:ind w:left="397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Buryak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N. S.;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Anishchenko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D. V.; Levin, E. E.;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Ryazantsev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S. V.; Martin-Diaconescu, V.;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Zakharkin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M. V.; Nikitina V. A.;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Antipov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 E.V. // </w:t>
      </w:r>
      <w:r w:rsidRPr="008D5AFA">
        <w:rPr>
          <w:rFonts w:ascii="Times New Roman" w:hAnsi="Times New Roman"/>
          <w:i/>
          <w:color w:val="000000" w:themeColor="text1"/>
          <w:sz w:val="24"/>
          <w:szCs w:val="24"/>
        </w:rPr>
        <w:t>Journal of Power Sources</w:t>
      </w:r>
      <w:r w:rsidRPr="008D5AFA">
        <w:rPr>
          <w:rFonts w:ascii="Times New Roman" w:hAnsi="Times New Roman"/>
          <w:color w:val="000000" w:themeColor="text1"/>
          <w:sz w:val="24"/>
          <w:szCs w:val="24"/>
        </w:rPr>
        <w:t>2022, 518, 230769.</w:t>
      </w:r>
    </w:p>
    <w:p w14:paraId="3B1D19FA" w14:textId="77777777" w:rsidR="00D003BC" w:rsidRPr="008D5AFA" w:rsidRDefault="00D003BC" w:rsidP="00D003BC">
      <w:pPr>
        <w:pStyle w:val="p1"/>
        <w:numPr>
          <w:ilvl w:val="0"/>
          <w:numId w:val="3"/>
        </w:numPr>
        <w:tabs>
          <w:tab w:val="left" w:pos="735"/>
        </w:tabs>
        <w:ind w:left="397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ZakharkinM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. V.;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Drozhzhin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O. A.; Tereshchenko, I.V.;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Chernyshov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D.;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Abakumov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 xml:space="preserve">, A. M.; </w:t>
      </w:r>
      <w:proofErr w:type="spellStart"/>
      <w:r w:rsidRPr="008D5AFA">
        <w:rPr>
          <w:rFonts w:ascii="Times New Roman" w:hAnsi="Times New Roman"/>
          <w:color w:val="000000" w:themeColor="text1"/>
          <w:sz w:val="24"/>
          <w:szCs w:val="24"/>
        </w:rPr>
        <w:t>Antipov</w:t>
      </w:r>
      <w:proofErr w:type="spellEnd"/>
      <w:r w:rsidRPr="008D5AFA">
        <w:rPr>
          <w:rFonts w:ascii="Times New Roman" w:hAnsi="Times New Roman"/>
          <w:color w:val="000000" w:themeColor="text1"/>
          <w:sz w:val="24"/>
          <w:szCs w:val="24"/>
        </w:rPr>
        <w:t>, E. V.; &amp; Stevenson, K.J. //</w:t>
      </w:r>
      <w:r w:rsidRPr="008D5AF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ACS Appl. EnergyMater2018</w:t>
      </w:r>
      <w:r w:rsidRPr="008D5AFA">
        <w:rPr>
          <w:rFonts w:ascii="Times New Roman" w:hAnsi="Times New Roman"/>
          <w:color w:val="000000" w:themeColor="text1"/>
          <w:sz w:val="24"/>
          <w:szCs w:val="24"/>
        </w:rPr>
        <w:t>, 1, 5842.</w:t>
      </w:r>
    </w:p>
    <w:p w14:paraId="3486C755" w14:textId="0C19D5C3" w:rsidR="00116478" w:rsidRPr="008D5AFA" w:rsidRDefault="00116478" w:rsidP="00D003BC">
      <w:pPr>
        <w:rPr>
          <w:color w:val="000000" w:themeColor="text1"/>
          <w:lang w:val="en-US"/>
        </w:rPr>
      </w:pPr>
    </w:p>
    <w:sectPr w:rsidR="00116478" w:rsidRPr="008D5A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4EA4"/>
    <w:multiLevelType w:val="multilevel"/>
    <w:tmpl w:val="5272489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86679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23F05"/>
    <w:rsid w:val="0069427D"/>
    <w:rsid w:val="006F7A19"/>
    <w:rsid w:val="00775389"/>
    <w:rsid w:val="00797838"/>
    <w:rsid w:val="007C36D8"/>
    <w:rsid w:val="007F2744"/>
    <w:rsid w:val="008931BE"/>
    <w:rsid w:val="008D5AFA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003BC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-">
    <w:name w:val="Интернет-ссылка"/>
    <w:basedOn w:val="a0"/>
    <w:uiPriority w:val="99"/>
    <w:unhideWhenUsed/>
    <w:qFormat/>
    <w:rsid w:val="00D003BC"/>
    <w:rPr>
      <w:color w:val="0000FF" w:themeColor="hyperlink"/>
      <w:u w:val="single"/>
    </w:rPr>
  </w:style>
  <w:style w:type="paragraph" w:customStyle="1" w:styleId="p1">
    <w:name w:val="p1"/>
    <w:basedOn w:val="a"/>
    <w:qFormat/>
    <w:rsid w:val="00D003BC"/>
    <w:pPr>
      <w:suppressAutoHyphens/>
      <w:ind w:left="360" w:hanging="360"/>
    </w:pPr>
    <w:rPr>
      <w:rFonts w:ascii="Helvetica" w:eastAsiaTheme="minorHAnsi" w:hAnsi="Helvetic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1@university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4</cp:revision>
  <dcterms:created xsi:type="dcterms:W3CDTF">2023-03-02T13:32:00Z</dcterms:created>
  <dcterms:modified xsi:type="dcterms:W3CDTF">2023-03-02T13:33:00Z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