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D3A51A" w14:textId="77777777" w:rsidR="00343EA8" w:rsidRPr="007A7A21" w:rsidRDefault="0001426A" w:rsidP="00AF3D56">
      <w:pPr>
        <w:spacing w:after="0"/>
        <w:jc w:val="center"/>
        <w:rPr>
          <w:b/>
        </w:rPr>
      </w:pPr>
      <w:r w:rsidRPr="007A7A21">
        <w:rPr>
          <w:b/>
        </w:rPr>
        <w:t xml:space="preserve">Влияние реакций анодных материалов с электролитом на безопасность </w:t>
      </w:r>
      <w:r w:rsidR="007A7A21">
        <w:rPr>
          <w:b/>
        </w:rPr>
        <w:br/>
      </w:r>
      <w:r w:rsidRPr="007A7A21">
        <w:rPr>
          <w:b/>
        </w:rPr>
        <w:t>натрий-ионных аккумуляторов</w:t>
      </w:r>
    </w:p>
    <w:p w14:paraId="4C71AF4F" w14:textId="77777777" w:rsidR="0001426A" w:rsidRPr="00AF3D56" w:rsidRDefault="0001426A" w:rsidP="00AF3D56">
      <w:pPr>
        <w:spacing w:after="0"/>
        <w:jc w:val="center"/>
        <w:rPr>
          <w:b/>
          <w:i/>
          <w:iCs/>
        </w:rPr>
      </w:pPr>
      <w:r w:rsidRPr="00AF3D56">
        <w:rPr>
          <w:b/>
          <w:i/>
          <w:iCs/>
        </w:rPr>
        <w:t>Сердюков Г. Д.,</w:t>
      </w:r>
      <w:r w:rsidRPr="00AF3D56">
        <w:rPr>
          <w:b/>
          <w:i/>
          <w:iCs/>
          <w:vertAlign w:val="superscript"/>
        </w:rPr>
        <w:t>1</w:t>
      </w:r>
      <w:r w:rsidRPr="00AF3D56">
        <w:rPr>
          <w:b/>
          <w:i/>
          <w:iCs/>
        </w:rPr>
        <w:t xml:space="preserve"> Рулев А. А.</w:t>
      </w:r>
      <w:r w:rsidRPr="00AF3D56">
        <w:rPr>
          <w:b/>
          <w:i/>
          <w:iCs/>
          <w:vertAlign w:val="superscript"/>
        </w:rPr>
        <w:t>2</w:t>
      </w:r>
    </w:p>
    <w:p w14:paraId="405F53DF" w14:textId="77777777" w:rsidR="0001426A" w:rsidRDefault="0001426A" w:rsidP="00AF3D56">
      <w:pPr>
        <w:spacing w:after="0"/>
        <w:jc w:val="center"/>
        <w:rPr>
          <w:i/>
          <w:color w:val="000000"/>
        </w:rPr>
      </w:pPr>
      <w:r>
        <w:rPr>
          <w:i/>
          <w:color w:val="000000"/>
        </w:rPr>
        <w:t>Студент, 6 курс специалитета</w:t>
      </w:r>
    </w:p>
    <w:p w14:paraId="24217A9D" w14:textId="77777777" w:rsidR="0001426A" w:rsidRDefault="0001426A" w:rsidP="00AF3D56">
      <w:pPr>
        <w:pBdr>
          <w:top w:val="nil"/>
          <w:left w:val="nil"/>
          <w:bottom w:val="nil"/>
          <w:right w:val="nil"/>
          <w:between w:val="nil"/>
        </w:pBdr>
        <w:shd w:val="clear" w:color="auto" w:fill="FFFFFF"/>
        <w:spacing w:after="0"/>
        <w:jc w:val="center"/>
        <w:rPr>
          <w:i/>
          <w:color w:val="000000"/>
        </w:rPr>
      </w:pPr>
      <w:r>
        <w:rPr>
          <w:i/>
          <w:color w:val="000000"/>
          <w:vertAlign w:val="superscript"/>
        </w:rPr>
        <w:t>1</w:t>
      </w:r>
      <w:r>
        <w:rPr>
          <w:i/>
          <w:color w:val="000000"/>
        </w:rPr>
        <w:t xml:space="preserve">Московский государственный университет имени М.В. </w:t>
      </w:r>
      <w:r w:rsidR="007A7A21">
        <w:rPr>
          <w:i/>
          <w:color w:val="000000"/>
        </w:rPr>
        <w:t>Ломоносова,</w:t>
      </w:r>
      <w:r w:rsidR="007A7A21">
        <w:rPr>
          <w:i/>
          <w:color w:val="000000"/>
        </w:rPr>
        <w:br/>
      </w:r>
      <w:r>
        <w:rPr>
          <w:i/>
          <w:color w:val="000000"/>
        </w:rPr>
        <w:t>химический факультет, Москва, Россия</w:t>
      </w:r>
    </w:p>
    <w:p w14:paraId="3369A264" w14:textId="77777777" w:rsidR="007A7A21" w:rsidRDefault="007A7A21" w:rsidP="00AF3D56">
      <w:pPr>
        <w:pBdr>
          <w:top w:val="nil"/>
          <w:left w:val="nil"/>
          <w:bottom w:val="nil"/>
          <w:right w:val="nil"/>
          <w:between w:val="nil"/>
        </w:pBdr>
        <w:shd w:val="clear" w:color="auto" w:fill="FFFFFF"/>
        <w:spacing w:after="0"/>
        <w:jc w:val="center"/>
        <w:rPr>
          <w:i/>
          <w:color w:val="000000"/>
        </w:rPr>
      </w:pPr>
      <w:r w:rsidRPr="007A7A21">
        <w:rPr>
          <w:i/>
          <w:color w:val="000000"/>
          <w:vertAlign w:val="superscript"/>
        </w:rPr>
        <w:t>2</w:t>
      </w:r>
      <w:r w:rsidRPr="007A7A21">
        <w:rPr>
          <w:i/>
          <w:color w:val="000000"/>
        </w:rPr>
        <w:t>Институт химической физик</w:t>
      </w:r>
      <w:r>
        <w:rPr>
          <w:i/>
          <w:color w:val="000000"/>
        </w:rPr>
        <w:t>и им. Н. Н. Семёнова</w:t>
      </w:r>
      <w:r>
        <w:rPr>
          <w:i/>
          <w:color w:val="000000"/>
        </w:rPr>
        <w:br/>
      </w:r>
      <w:r w:rsidRPr="007A7A21">
        <w:rPr>
          <w:i/>
          <w:color w:val="000000"/>
        </w:rPr>
        <w:t>Российской академии наук</w:t>
      </w:r>
      <w:r>
        <w:rPr>
          <w:i/>
          <w:color w:val="000000"/>
        </w:rPr>
        <w:t>, Москва, Россия</w:t>
      </w:r>
    </w:p>
    <w:p w14:paraId="7687A97F" w14:textId="77777777" w:rsidR="007A7A21" w:rsidRPr="007A7A21" w:rsidRDefault="007A7A21" w:rsidP="00AF3D56">
      <w:pPr>
        <w:pBdr>
          <w:top w:val="nil"/>
          <w:left w:val="nil"/>
          <w:bottom w:val="nil"/>
          <w:right w:val="nil"/>
          <w:between w:val="nil"/>
        </w:pBdr>
        <w:shd w:val="clear" w:color="auto" w:fill="FFFFFF"/>
        <w:spacing w:after="0"/>
        <w:jc w:val="center"/>
        <w:rPr>
          <w:i/>
          <w:color w:val="000000"/>
          <w:lang w:val="en-GB"/>
        </w:rPr>
      </w:pPr>
      <w:r>
        <w:rPr>
          <w:i/>
          <w:color w:val="000000"/>
          <w:lang w:val="en-GB"/>
        </w:rPr>
        <w:t xml:space="preserve">E-mail: </w:t>
      </w:r>
      <w:r w:rsidRPr="00AF3D56">
        <w:rPr>
          <w:i/>
          <w:color w:val="000000"/>
          <w:u w:val="single"/>
          <w:lang w:val="en-GB"/>
        </w:rPr>
        <w:t>gosha.serdyukov@mail.ru</w:t>
      </w:r>
    </w:p>
    <w:p w14:paraId="4D7E5ECD" w14:textId="77777777" w:rsidR="0001426A" w:rsidRDefault="009F17E8" w:rsidP="00AF3D56">
      <w:pPr>
        <w:spacing w:after="0"/>
        <w:ind w:firstLine="397"/>
        <w:jc w:val="both"/>
      </w:pPr>
      <w:r>
        <w:t>Для развития возобновляемых источников энергии необходимы стационарные накопители энергии, например, электрохимические источники тока. На использование литий-ионных аккумуляторов</w:t>
      </w:r>
      <w:r w:rsidR="00654FD0">
        <w:t xml:space="preserve"> (ЛИА)</w:t>
      </w:r>
      <w:r>
        <w:t xml:space="preserve"> для этих</w:t>
      </w:r>
      <w:r w:rsidR="008F6603">
        <w:t xml:space="preserve"> целей существую</w:t>
      </w:r>
      <w:r>
        <w:t>т ограничения</w:t>
      </w:r>
      <w:r w:rsidR="00302830">
        <w:t xml:space="preserve"> </w:t>
      </w:r>
      <w:r w:rsidR="00302830">
        <w:fldChar w:fldCharType="begin" w:fldLock="1"/>
      </w:r>
      <w:r w:rsidR="00302830">
        <w:instrText>ADDIN CSL_CITATION {"citationItems":[{"id":"ITEM-1","itemData":{"DOI":"10.1002/est2.309","ISSN":"2578-4862","abstract":"The use of nonaqueous, alkali metal-ion batteries within energy storage systems presents considerable opportunities and obstacles. Lithium-ion batteries (LIBs) are among the most developed and versatile electrochemical energy storage technologies currently available, but are often prohibitively expensive for large-scale, stationary applications. As global demand for LIBs grows, dwindling supplies of cell component materials and their critical mineral precursors will likely increase future LIB costs. In this work, emerging sodium-ion batteries (SIBs) constructed from relatively inexpensive and abundant materials are examined for their viability as LIB substitutes to meet large-scale, stationary energy storage needs. Despite the relatively underdeveloped state of SIB technology, cell material costs and performance characteristics are rapidly approaching those of some commercially successful LIB types. Advances in sustainably sourced SIB electrode materials promise to further reduce cell prices. Technoeconomic attributes of SIBs appear poised to match or exceed those of certain commercialized LIBs for large-scale, stationary energy storage purposes. This work examines a case for use of LIBs or SIBs for seasonal, household energy storage in Canada. K E Y W O R D S critical minerals, electrochemistry, energy storage, lithium-ion battery, renewable energy, sodium-ion battery 1 | INTRODUCTION Energy storage systems are needed for diverse applications. Whether used to power mobile electronics, tools, vehicles, or to stabilize electrical loads within grids, rechargeable batteries have become critically important energy-storing devices. The deployment of battery energy storage infrastructure promises to improve energy efficiency , energy security, and the utility of intermittent, renewable resources, like solar and wind power. Over the past three decades, lithium-ion batteries (LIBs) have been used increasingly to meet diverse energy storage needs owing to incremental improvements to their performance and production costs. 1 However, as LIBs approach technoeconomic maturity, such improvements have inevitably become less pronounced. Given the projected increase in global demand for battery energy storage systems, 2 limitations to the supply of LIB component material precursors, including critical minerals, 3 may soon manifest as a reversal of the historically decreasing LIB price trend. Anticipation of such a reversal has inspired the recent development of alterna…","author":[{"dropping-particle":"","family":"Hounjet","given":"Lindsay J.","non-dropping-particle":"","parse-names":false,"suffix":""}],"container-title":"Energy Storage","id":"ITEM-1","issue":"3","issued":{"date-parts":[["2022"]]},"page":"1-10","title":"Comparing lithium‐ and sodium‐ion batteries for their applicability within energy storage systems","type":"article-journal","volume":"4"},"uris":["http://www.mendeley.com/documents/?uuid=2c60c455-2dd7-49d3-97ed-8170e845e2cf"]}],"mendeley":{"formattedCitation":"[1]","plainTextFormattedCitation":"[1]","previouslyFormattedCitation":"[1]"},"properties":{"noteIndex":0},"schema":"https://github.com/citation-style-language/schema/raw/master/csl-citation.json"}</w:instrText>
      </w:r>
      <w:r w:rsidR="00302830">
        <w:fldChar w:fldCharType="separate"/>
      </w:r>
      <w:r w:rsidR="00302830" w:rsidRPr="00302830">
        <w:rPr>
          <w:noProof/>
        </w:rPr>
        <w:t>[1]</w:t>
      </w:r>
      <w:r w:rsidR="00302830">
        <w:fldChar w:fldCharType="end"/>
      </w:r>
      <w:r w:rsidR="007D31D8">
        <w:t xml:space="preserve">, связанные с </w:t>
      </w:r>
      <w:r>
        <w:t xml:space="preserve">неравномерными запасами лития по странам. В лабораторных условиях </w:t>
      </w:r>
      <w:r w:rsidR="00654FD0">
        <w:t>активно развивае</w:t>
      </w:r>
      <w:r>
        <w:t>тся другая технология -</w:t>
      </w:r>
      <w:r w:rsidR="00654FD0">
        <w:t xml:space="preserve"> натрий-ионные аккумуляторы (НИА), которая лишена подобных недостатков</w:t>
      </w:r>
      <w:r w:rsidR="00302830">
        <w:t xml:space="preserve"> </w:t>
      </w:r>
      <w:r w:rsidR="00302830">
        <w:fldChar w:fldCharType="begin" w:fldLock="1"/>
      </w:r>
      <w:r w:rsidR="00302830">
        <w:instrText>ADDIN CSL_CITATION {"citationItems":[{"id":"ITEM-1","itemData":{"DOI":"10.1039/d1ta00376c","ISSN":"20507496","abstract":"There is no doubt that rechargeable batteries will play a huge role in the future of the world. Sodium-ion (Na-ion) batteries might be the ideal middle-ground between high performance delivered by the modern lithium-ion (Li-ion) battery, desire for low costs and long-term sustainability. To commercialise the Na-ion technology, Faradion was founded in 2011 as the world's first non-aqueous Na-ion battery company. Over the years, we have made rapid progress in increasing the all-around performance of Na-ion batteries, benefitting from decades' worth of industry experience and prior Na-ion as well as Li-ion academic research. The Faradion Na-ion chemistry can now exceed the energy densities of LiFePO4//graphite Li-ion batteries with rapidly converging cycle lives, similar rate performance and charge acceptance. In addition, our technology makes use of lower materials costs, offers improved safety through the use of high flash point electrolytes and has the ability to be discharged to zero volts for storage and transportation. In this article, Faradion's step-by-step progress in the Na-ion technology will be discussed together with a general picture of how our Na-ion chemistry compares with other Na-ion systems and commercially available Li-ion technology. Finally, the importance of starting experimental testing on new materials, keeping commercially-relevant protocols in mind, will be illustrated by clearly highlighting the drastic effects of some crucial experimental factors. By sharing such industry know-how, Faradion hopes researchers worldwide will adopt such experimental protocols as routine methodology in the laboratory. These simple measures can significantly shorten the path from a new invention to commercial application, while also ensuring that the battery-related literature conveys the true commercial feasibility of an invention or discovery to the general public.","author":[{"dropping-particle":"","family":"Rudola","given":"Ashish","non-dropping-particle":"","parse-names":false,"suffix":""},{"dropping-particle":"","family":"Rennie","given":"Anthony J.R.","non-dropping-particle":"","parse-names":false,"suffix":""},{"dropping-particle":"","family":"Heap","given":"Richard","non-dropping-particle":"","parse-names":false,"suffix":""},{"dropping-particle":"","family":"Meysami","given":"Seyyed Shayan","non-dropping-particle":"","parse-names":false,"suffix":""},{"dropping-particle":"","family":"Lowbridge","given":"Alex","non-dropping-particle":"","parse-names":false,"suffix":""},{"dropping-particle":"","family":"Mazzali","given":"Francesco","non-dropping-particle":"","parse-names":false,"suffix":""},{"dropping-particle":"","family":"Sayers","given":"Ruth","non-dropping-particle":"","parse-names":false,"suffix":""},{"dropping-particle":"","family":"Wright","given":"Christopher J.","non-dropping-particle":"","parse-names":false,"suffix":""},{"dropping-particle":"","family":"Barker","given":"Jerry","non-dropping-particle":"","parse-names":false,"suffix":""}],"container-title":"Journal of Materials Chemistry A","id":"ITEM-1","issue":"13","issued":{"date-parts":[["2021"]]},"page":"8279-8302","publisher":"Royal Society of Chemistry","title":"Commercialisation of high energy density sodium-ion batteries: Faradion's journey and outlook","type":"article-journal","volume":"9"},"uris":["http://www.mendeley.com/documents/?uuid=be80c80c-eb14-460c-9363-e859703155b9"]}],"mendeley":{"formattedCitation":"[2]","plainTextFormattedCitation":"[2]","previouslyFormattedCitation":"[2]"},"properties":{"noteIndex":0},"schema":"https://github.com/citation-style-language/schema/raw/master/csl-citation.json"}</w:instrText>
      </w:r>
      <w:r w:rsidR="00302830">
        <w:fldChar w:fldCharType="separate"/>
      </w:r>
      <w:r w:rsidR="00302830" w:rsidRPr="00302830">
        <w:rPr>
          <w:noProof/>
        </w:rPr>
        <w:t>[2]</w:t>
      </w:r>
      <w:r w:rsidR="00302830">
        <w:fldChar w:fldCharType="end"/>
      </w:r>
      <w:r w:rsidR="00654FD0">
        <w:t>.</w:t>
      </w:r>
    </w:p>
    <w:p w14:paraId="0407CD72" w14:textId="77777777" w:rsidR="003123B8" w:rsidRDefault="00006830" w:rsidP="00AF3D56">
      <w:pPr>
        <w:spacing w:after="0"/>
        <w:ind w:firstLine="397"/>
        <w:jc w:val="both"/>
      </w:pPr>
      <w:r>
        <w:t>Актуальны в</w:t>
      </w:r>
      <w:r w:rsidR="00654FD0">
        <w:t xml:space="preserve">опросы, связанные с термической безопасностью НИА. </w:t>
      </w:r>
      <w:r w:rsidR="00A22121">
        <w:t>На термический</w:t>
      </w:r>
      <w:r w:rsidR="00654FD0">
        <w:t xml:space="preserve"> разгон</w:t>
      </w:r>
      <w:r w:rsidR="00A22121">
        <w:t xml:space="preserve"> аккумулятора могут влиять различные реакции</w:t>
      </w:r>
      <w:r w:rsidR="00D06671">
        <w:t>, сопровождающиеся тепловыми эффектами</w:t>
      </w:r>
      <w:r w:rsidR="00302830" w:rsidRPr="00302830">
        <w:t xml:space="preserve"> </w:t>
      </w:r>
      <w:r w:rsidR="00302830">
        <w:fldChar w:fldCharType="begin" w:fldLock="1"/>
      </w:r>
      <w:r w:rsidR="00302830">
        <w:instrText>ADDIN CSL_CITATION {"citationItems":[{"id":"ITEM-1","itemData":{"DOI":"10.1088/0256-307X/38/7/076501","ISSN":"17413540","abstract":"As a new electrochemical power system, safety (especially thermal safety) of Na-ion batteries (NIBs) is the key towards large-scale industrialization and market application. Thus, research on the thermal stability of NIBs is helpful to evaluate the safety properties and to provide effective strategies to prevent the occurrence of battery safety failure. Thermal stability of the high-power 26650 cylindrical NIBs using Cu-based layered oxide cathode and hard carbon anode is studied. The high power NIBs can achieve fast charge and discharge at 5-10 C rate and maintain 80% capacity after 4729 cycles at 2 C/2C rate, where the unit C denotes a measure of the rate at which a battery is charge-discharged relative to its maximum capacity. The results of accelerating rate calorimeter and differential scanning calorimetry (ARC-DSC) test results show that NIBs have a higher initial decomposition temperature (≥110 °C) and a lower maximum thermal runaway temperature (≤350 °C) than those of Li-ion batteries (LIBs), exhibiting a favorable thermal stability. It should be noted that the heat generation of cathode accounts for a large proportion of the total heat generation while the thermal stability of the anode determines the initial thermal runaway temperature, which is similar to LIBs. Finally, the whole temperature characteristics of the NIBs in the range of -60 °C-1000 °C are summarized, which provide guidance for the safety design and applications of NIBs.","author":[{"dropping-particle":"","family":"Zhou","given":"Quan","non-dropping-particle":"","parse-names":false,"suffix":""},{"dropping-particle":"","family":"Li","given":"Yuqi","non-dropping-particle":"","parse-names":false,"suffix":""},{"dropping-particle":"","family":"Tang","given":"Fei","non-dropping-particle":"","parse-names":false,"suffix":""},{"dropping-particle":"","family":"Li","given":"Kaixuan","non-dropping-particle":"","parse-names":false,"suffix":""},{"dropping-particle":"","family":"Rong","given":"Xiaohui","non-dropping-particle":"","parse-names":false,"suffix":""},{"dropping-particle":"","family":"Lu","given":"Yaxiang","non-dropping-particle":"","parse-names":false,"suffix":""},{"dropping-particle":"","family":"Chen","given":"Liquan","non-dropping-particle":"","parse-names":false,"suffix":""},{"dropping-particle":"","family":"Hu","given":"Yong Sheng","non-dropping-particle":"","parse-names":false,"suffix":""}],"container-title":"Chinese Physics Letters","id":"ITEM-1","issue":"7","issued":{"date-parts":[["2021"]]},"title":"Thermal Stability of High Power 26650-Type Cylindrical Na-Ion Batteries","type":"article-journal","volume":"38"},"uris":["http://www.mendeley.com/documents/?uuid=c1e0a422-9501-4bba-8a17-6db9f5ac6c7a"]}],"mendeley":{"formattedCitation":"[3]","plainTextFormattedCitation":"[3]"},"properties":{"noteIndex":0},"schema":"https://github.com/citation-style-language/schema/raw/master/csl-citation.json"}</w:instrText>
      </w:r>
      <w:r w:rsidR="00302830">
        <w:fldChar w:fldCharType="separate"/>
      </w:r>
      <w:r w:rsidR="00302830" w:rsidRPr="00302830">
        <w:rPr>
          <w:noProof/>
        </w:rPr>
        <w:t>[3]</w:t>
      </w:r>
      <w:r w:rsidR="00302830">
        <w:fldChar w:fldCharType="end"/>
      </w:r>
      <w:r w:rsidR="00A22121">
        <w:t>. Для НИА наблюдается недостаток</w:t>
      </w:r>
      <w:r w:rsidR="00D06671">
        <w:t xml:space="preserve"> исследований в этой области. В рамках работы </w:t>
      </w:r>
      <w:r w:rsidR="00262480">
        <w:t xml:space="preserve">оценены температурные интервалы и величины тепловых эффектов реакций анодных материалов, электролита и полимерного связующего, </w:t>
      </w:r>
      <w:r w:rsidR="00F35D3C">
        <w:t>таких как</w:t>
      </w:r>
      <w:r w:rsidR="00262480">
        <w:t>:</w:t>
      </w:r>
    </w:p>
    <w:p w14:paraId="3A614244" w14:textId="77777777" w:rsidR="007D31D8" w:rsidRPr="005B52C2" w:rsidRDefault="003123B8" w:rsidP="00AF3D56">
      <w:pPr>
        <w:pStyle w:val="a3"/>
        <w:numPr>
          <w:ilvl w:val="0"/>
          <w:numId w:val="1"/>
        </w:numPr>
        <w:spacing w:after="0"/>
        <w:ind w:left="284" w:hanging="284"/>
        <w:jc w:val="both"/>
      </w:pPr>
      <w:r>
        <w:t>Р</w:t>
      </w:r>
      <w:r w:rsidR="007D31D8">
        <w:t xml:space="preserve">азложение </w:t>
      </w:r>
      <w:r w:rsidR="007D31D8" w:rsidRPr="003123B8">
        <w:rPr>
          <w:lang w:val="en-GB"/>
        </w:rPr>
        <w:t>SEI</w:t>
      </w:r>
      <w:r w:rsidR="007D31D8" w:rsidRPr="00A22121">
        <w:t xml:space="preserve"> (</w:t>
      </w:r>
      <w:r w:rsidR="007D31D8" w:rsidRPr="003123B8">
        <w:rPr>
          <w:lang w:val="en-GB"/>
        </w:rPr>
        <w:t>S</w:t>
      </w:r>
      <w:proofErr w:type="spellStart"/>
      <w:r w:rsidR="007D31D8">
        <w:t>olid</w:t>
      </w:r>
      <w:proofErr w:type="spellEnd"/>
      <w:r w:rsidR="007D31D8">
        <w:t xml:space="preserve"> </w:t>
      </w:r>
      <w:r w:rsidR="007D31D8" w:rsidRPr="003123B8">
        <w:rPr>
          <w:lang w:val="en-GB"/>
        </w:rPr>
        <w:t>E</w:t>
      </w:r>
      <w:proofErr w:type="spellStart"/>
      <w:r w:rsidR="007D31D8" w:rsidRPr="003C0ACE">
        <w:t>lectro</w:t>
      </w:r>
      <w:r w:rsidR="007D31D8">
        <w:t>lyte</w:t>
      </w:r>
      <w:proofErr w:type="spellEnd"/>
      <w:r w:rsidR="007D31D8">
        <w:t xml:space="preserve"> </w:t>
      </w:r>
      <w:r w:rsidR="007D31D8" w:rsidRPr="003123B8">
        <w:rPr>
          <w:lang w:val="en-GB"/>
        </w:rPr>
        <w:t>I</w:t>
      </w:r>
      <w:proofErr w:type="spellStart"/>
      <w:r w:rsidR="00006830">
        <w:t>nterphase</w:t>
      </w:r>
      <w:proofErr w:type="spellEnd"/>
      <w:r w:rsidR="00006830">
        <w:t>) -</w:t>
      </w:r>
      <w:r w:rsidR="007D31D8">
        <w:t xml:space="preserve"> </w:t>
      </w:r>
      <w:proofErr w:type="spellStart"/>
      <w:r w:rsidR="00006830">
        <w:t>пассивирующего</w:t>
      </w:r>
      <w:proofErr w:type="spellEnd"/>
      <w:r w:rsidR="007D31D8">
        <w:t xml:space="preserve"> слой, </w:t>
      </w:r>
      <w:r w:rsidR="004B01FC">
        <w:t xml:space="preserve">образующегося на </w:t>
      </w:r>
      <w:r w:rsidR="007D31D8">
        <w:t>поверхности анодного материала</w:t>
      </w:r>
      <w:r w:rsidR="002D6EBE">
        <w:t xml:space="preserve"> в результате электрохимического восстановления электролита</w:t>
      </w:r>
      <w:r w:rsidR="00006830">
        <w:t>. О</w:t>
      </w:r>
      <w:r w:rsidR="005B52C2">
        <w:t>с</w:t>
      </w:r>
      <w:r w:rsidR="004B01FC">
        <w:t xml:space="preserve">новной органический компонент - </w:t>
      </w:r>
      <w:proofErr w:type="spellStart"/>
      <w:r w:rsidR="005B52C2">
        <w:t>диэтиленкарбонат</w:t>
      </w:r>
      <w:proofErr w:type="spellEnd"/>
      <w:r w:rsidR="005B52C2">
        <w:t xml:space="preserve"> </w:t>
      </w:r>
      <w:r w:rsidR="004B01FC">
        <w:t>натрия</w:t>
      </w:r>
    </w:p>
    <w:p w14:paraId="4037F8DB" w14:textId="77777777" w:rsidR="007D31D8" w:rsidRPr="003123B8" w:rsidRDefault="007D31D8" w:rsidP="00AF3D56">
      <w:pPr>
        <w:pStyle w:val="a3"/>
        <w:spacing w:after="0"/>
        <w:ind w:left="284"/>
        <w:jc w:val="both"/>
        <w:rPr>
          <w:rFonts w:eastAsiaTheme="minorEastAsia"/>
          <w:szCs w:val="24"/>
          <w:lang w:val="en-US"/>
        </w:rPr>
      </w:pPr>
      <m:oMathPara>
        <m:oMathParaPr>
          <m:jc m:val="left"/>
        </m:oMathParaPr>
        <m:oMath>
          <m:r>
            <m:rPr>
              <m:sty m:val="p"/>
            </m:rPr>
            <w:rPr>
              <w:rFonts w:ascii="Cambria Math" w:hAnsi="Cambria Math"/>
              <w:szCs w:val="24"/>
            </w:rPr>
            <m:t>(</m:t>
          </m:r>
          <m:r>
            <m:rPr>
              <m:sty m:val="p"/>
            </m:rPr>
            <w:rPr>
              <w:rFonts w:ascii="Cambria Math" w:hAnsi="Cambria Math"/>
              <w:szCs w:val="24"/>
              <w:lang w:val="en-US"/>
            </w:rPr>
            <m:t>C</m:t>
          </m:r>
          <m:sSub>
            <m:sSubPr>
              <m:ctrlPr>
                <w:rPr>
                  <w:rFonts w:ascii="Cambria Math" w:hAnsi="Cambria Math"/>
                  <w:szCs w:val="24"/>
                  <w:lang w:val="en-US"/>
                </w:rPr>
              </m:ctrlPr>
            </m:sSubPr>
            <m:e>
              <m:r>
                <m:rPr>
                  <m:sty m:val="p"/>
                </m:rPr>
                <w:rPr>
                  <w:rFonts w:ascii="Cambria Math" w:hAnsi="Cambria Math"/>
                  <w:szCs w:val="24"/>
                  <w:lang w:val="en-US"/>
                </w:rPr>
                <m:t>H</m:t>
              </m:r>
            </m:e>
            <m:sub>
              <m:r>
                <m:rPr>
                  <m:sty m:val="p"/>
                </m:rPr>
                <w:rPr>
                  <w:rFonts w:ascii="Cambria Math" w:hAnsi="Cambria Math"/>
                  <w:szCs w:val="24"/>
                </w:rPr>
                <m:t>2</m:t>
              </m:r>
            </m:sub>
          </m:sSub>
          <m:r>
            <m:rPr>
              <m:sty m:val="p"/>
            </m:rPr>
            <w:rPr>
              <w:rFonts w:ascii="Cambria Math" w:hAnsi="Cambria Math"/>
              <w:szCs w:val="24"/>
              <w:lang w:val="en-US"/>
            </w:rPr>
            <m:t>OC</m:t>
          </m:r>
          <m:sSub>
            <m:sSubPr>
              <m:ctrlPr>
                <w:rPr>
                  <w:rFonts w:ascii="Cambria Math" w:hAnsi="Cambria Math"/>
                  <w:szCs w:val="24"/>
                  <w:lang w:val="en-US"/>
                </w:rPr>
              </m:ctrlPr>
            </m:sSubPr>
            <m:e>
              <m:r>
                <m:rPr>
                  <m:sty m:val="p"/>
                </m:rPr>
                <w:rPr>
                  <w:rFonts w:ascii="Cambria Math" w:hAnsi="Cambria Math"/>
                  <w:szCs w:val="24"/>
                  <w:lang w:val="en-US"/>
                </w:rPr>
                <m:t>O</m:t>
              </m:r>
            </m:e>
            <m:sub>
              <m:r>
                <m:rPr>
                  <m:sty m:val="p"/>
                </m:rPr>
                <w:rPr>
                  <w:rFonts w:ascii="Cambria Math" w:hAnsi="Cambria Math"/>
                  <w:szCs w:val="24"/>
                </w:rPr>
                <m:t>2</m:t>
              </m:r>
            </m:sub>
          </m:sSub>
          <m:r>
            <m:rPr>
              <m:sty m:val="p"/>
            </m:rPr>
            <w:rPr>
              <w:rFonts w:ascii="Cambria Math" w:hAnsi="Cambria Math"/>
              <w:szCs w:val="24"/>
              <w:lang w:val="en-US"/>
            </w:rPr>
            <m:t>Na</m:t>
          </m:r>
          <m:sSub>
            <m:sSubPr>
              <m:ctrlPr>
                <w:rPr>
                  <w:rFonts w:ascii="Cambria Math" w:hAnsi="Cambria Math"/>
                  <w:szCs w:val="24"/>
                  <w:lang w:val="en-US"/>
                </w:rPr>
              </m:ctrlPr>
            </m:sSubPr>
            <m:e>
              <m:r>
                <m:rPr>
                  <m:sty m:val="p"/>
                </m:rPr>
                <w:rPr>
                  <w:rFonts w:ascii="Cambria Math" w:hAnsi="Cambria Math"/>
                  <w:szCs w:val="24"/>
                </w:rPr>
                <m:t>)</m:t>
              </m:r>
            </m:e>
            <m:sub>
              <m:r>
                <m:rPr>
                  <m:sty m:val="p"/>
                </m:rPr>
                <w:rPr>
                  <w:rFonts w:ascii="Cambria Math" w:hAnsi="Cambria Math"/>
                  <w:szCs w:val="24"/>
                </w:rPr>
                <m:t>2</m:t>
              </m:r>
            </m:sub>
          </m:sSub>
          <m:r>
            <m:rPr>
              <m:sty m:val="p"/>
            </m:rPr>
            <w:rPr>
              <w:rFonts w:ascii="Cambria Math" w:hAnsi="Cambria Math"/>
              <w:szCs w:val="24"/>
            </w:rPr>
            <m:t>→</m:t>
          </m:r>
          <m:r>
            <m:rPr>
              <m:sty m:val="p"/>
            </m:rPr>
            <w:rPr>
              <w:rFonts w:ascii="Cambria Math" w:hAnsi="Cambria Math"/>
              <w:szCs w:val="24"/>
              <w:lang w:val="en-US"/>
            </w:rPr>
            <m:t>N</m:t>
          </m:r>
          <m:sSub>
            <m:sSubPr>
              <m:ctrlPr>
                <w:rPr>
                  <w:rFonts w:ascii="Cambria Math" w:hAnsi="Cambria Math"/>
                  <w:szCs w:val="24"/>
                  <w:lang w:val="en-US"/>
                </w:rPr>
              </m:ctrlPr>
            </m:sSubPr>
            <m:e>
              <m:r>
                <w:rPr>
                  <w:rFonts w:ascii="Cambria Math" w:hAnsi="Cambria Math"/>
                  <w:szCs w:val="24"/>
                  <w:lang w:val="en-GB"/>
                </w:rPr>
                <m:t>a</m:t>
              </m:r>
            </m:e>
            <m:sub>
              <m:r>
                <m:rPr>
                  <m:sty m:val="p"/>
                </m:rPr>
                <w:rPr>
                  <w:rFonts w:ascii="Cambria Math" w:hAnsi="Cambria Math"/>
                  <w:szCs w:val="24"/>
                </w:rPr>
                <m:t>2</m:t>
              </m:r>
            </m:sub>
          </m:sSub>
          <m:r>
            <m:rPr>
              <m:sty m:val="p"/>
            </m:rPr>
            <w:rPr>
              <w:rFonts w:ascii="Cambria Math" w:hAnsi="Cambria Math"/>
              <w:szCs w:val="24"/>
              <w:lang w:val="en-US"/>
            </w:rPr>
            <m:t>C</m:t>
          </m:r>
          <m:sSub>
            <m:sSubPr>
              <m:ctrlPr>
                <w:rPr>
                  <w:rFonts w:ascii="Cambria Math" w:hAnsi="Cambria Math"/>
                  <w:szCs w:val="24"/>
                  <w:lang w:val="en-US"/>
                </w:rPr>
              </m:ctrlPr>
            </m:sSubPr>
            <m:e>
              <m:r>
                <m:rPr>
                  <m:sty m:val="p"/>
                </m:rPr>
                <w:rPr>
                  <w:rFonts w:ascii="Cambria Math" w:hAnsi="Cambria Math"/>
                  <w:szCs w:val="24"/>
                  <w:lang w:val="en-US"/>
                </w:rPr>
                <m:t>O</m:t>
              </m:r>
            </m:e>
            <m:sub>
              <m:r>
                <m:rPr>
                  <m:sty m:val="p"/>
                </m:rPr>
                <w:rPr>
                  <w:rFonts w:ascii="Cambria Math" w:hAnsi="Cambria Math"/>
                  <w:szCs w:val="24"/>
                </w:rPr>
                <m:t>3</m:t>
              </m:r>
            </m:sub>
          </m:sSub>
          <m:r>
            <m:rPr>
              <m:sty m:val="p"/>
            </m:rPr>
            <w:rPr>
              <w:rFonts w:ascii="Cambria Math" w:hAnsi="Cambria Math"/>
              <w:szCs w:val="24"/>
            </w:rPr>
            <m:t>+</m:t>
          </m:r>
          <m:sSub>
            <m:sSubPr>
              <m:ctrlPr>
                <w:rPr>
                  <w:rFonts w:ascii="Cambria Math" w:hAnsi="Cambria Math"/>
                  <w:szCs w:val="24"/>
                  <w:lang w:val="en-US"/>
                </w:rPr>
              </m:ctrlPr>
            </m:sSubPr>
            <m:e>
              <m:r>
                <m:rPr>
                  <m:sty m:val="p"/>
                </m:rPr>
                <w:rPr>
                  <w:rFonts w:ascii="Cambria Math" w:hAnsi="Cambria Math"/>
                  <w:szCs w:val="24"/>
                  <w:lang w:val="en-US"/>
                </w:rPr>
                <m:t>C</m:t>
              </m:r>
            </m:e>
            <m:sub>
              <m:r>
                <m:rPr>
                  <m:sty m:val="p"/>
                </m:rPr>
                <w:rPr>
                  <w:rFonts w:ascii="Cambria Math" w:hAnsi="Cambria Math"/>
                  <w:szCs w:val="24"/>
                </w:rPr>
                <m:t>2</m:t>
              </m:r>
            </m:sub>
          </m:sSub>
          <m:sSub>
            <m:sSubPr>
              <m:ctrlPr>
                <w:rPr>
                  <w:rFonts w:ascii="Cambria Math" w:hAnsi="Cambria Math"/>
                  <w:szCs w:val="24"/>
                  <w:lang w:val="en-US"/>
                </w:rPr>
              </m:ctrlPr>
            </m:sSubPr>
            <m:e>
              <m:r>
                <m:rPr>
                  <m:sty m:val="p"/>
                </m:rPr>
                <w:rPr>
                  <w:rFonts w:ascii="Cambria Math" w:hAnsi="Cambria Math"/>
                  <w:szCs w:val="24"/>
                  <w:lang w:val="en-US"/>
                </w:rPr>
                <m:t>H</m:t>
              </m:r>
            </m:e>
            <m:sub>
              <m:r>
                <m:rPr>
                  <m:sty m:val="p"/>
                </m:rPr>
                <w:rPr>
                  <w:rFonts w:ascii="Cambria Math" w:hAnsi="Cambria Math"/>
                  <w:szCs w:val="24"/>
                </w:rPr>
                <m:t>4</m:t>
              </m:r>
            </m:sub>
          </m:sSub>
          <m:r>
            <m:rPr>
              <m:sty m:val="p"/>
            </m:rPr>
            <w:rPr>
              <w:rFonts w:ascii="Cambria Math" w:hAnsi="Cambria Math"/>
              <w:szCs w:val="24"/>
            </w:rPr>
            <m:t>+</m:t>
          </m:r>
          <m:r>
            <m:rPr>
              <m:sty m:val="p"/>
            </m:rPr>
            <w:rPr>
              <w:rFonts w:ascii="Cambria Math" w:hAnsi="Cambria Math"/>
              <w:szCs w:val="24"/>
              <w:lang w:val="en-US"/>
            </w:rPr>
            <m:t>C</m:t>
          </m:r>
          <m:sSub>
            <m:sSubPr>
              <m:ctrlPr>
                <w:rPr>
                  <w:rFonts w:ascii="Cambria Math" w:hAnsi="Cambria Math"/>
                  <w:szCs w:val="24"/>
                  <w:lang w:val="en-US"/>
                </w:rPr>
              </m:ctrlPr>
            </m:sSubPr>
            <m:e>
              <m:r>
                <m:rPr>
                  <m:sty m:val="p"/>
                </m:rPr>
                <w:rPr>
                  <w:rFonts w:ascii="Cambria Math" w:hAnsi="Cambria Math"/>
                  <w:szCs w:val="24"/>
                  <w:lang w:val="en-US"/>
                </w:rPr>
                <m:t>O</m:t>
              </m:r>
            </m:e>
            <m:sub>
              <m:r>
                <m:rPr>
                  <m:sty m:val="p"/>
                </m:rPr>
                <w:rPr>
                  <w:rFonts w:ascii="Cambria Math" w:hAnsi="Cambria Math"/>
                  <w:szCs w:val="24"/>
                </w:rPr>
                <m:t>2</m:t>
              </m:r>
            </m:sub>
          </m:sSub>
          <m:r>
            <m:rPr>
              <m:sty m:val="p"/>
            </m:rPr>
            <w:rPr>
              <w:rFonts w:ascii="Cambria Math" w:hAnsi="Cambria Math"/>
              <w:szCs w:val="24"/>
            </w:rPr>
            <m:t xml:space="preserve">+ </m:t>
          </m:r>
          <m:f>
            <m:fPr>
              <m:ctrlPr>
                <w:rPr>
                  <w:rFonts w:ascii="Cambria Math" w:hAnsi="Cambria Math"/>
                  <w:szCs w:val="24"/>
                  <w:lang w:val="en-US"/>
                </w:rPr>
              </m:ctrlPr>
            </m:fPr>
            <m:num>
              <m:r>
                <m:rPr>
                  <m:sty m:val="p"/>
                </m:rPr>
                <w:rPr>
                  <w:rFonts w:ascii="Cambria Math" w:hAnsi="Cambria Math"/>
                  <w:szCs w:val="24"/>
                </w:rPr>
                <m:t>1</m:t>
              </m:r>
            </m:num>
            <m:den>
              <m:r>
                <m:rPr>
                  <m:sty m:val="p"/>
                </m:rPr>
                <w:rPr>
                  <w:rFonts w:ascii="Cambria Math" w:hAnsi="Cambria Math"/>
                  <w:szCs w:val="24"/>
                </w:rPr>
                <m:t>2</m:t>
              </m:r>
            </m:den>
          </m:f>
          <m:sSub>
            <m:sSubPr>
              <m:ctrlPr>
                <w:rPr>
                  <w:rFonts w:ascii="Cambria Math" w:hAnsi="Cambria Math"/>
                  <w:szCs w:val="24"/>
                  <w:lang w:val="en-US"/>
                </w:rPr>
              </m:ctrlPr>
            </m:sSubPr>
            <m:e>
              <m:r>
                <m:rPr>
                  <m:sty m:val="p"/>
                </m:rPr>
                <w:rPr>
                  <w:rFonts w:ascii="Cambria Math" w:hAnsi="Cambria Math"/>
                  <w:szCs w:val="24"/>
                  <w:lang w:val="en-US"/>
                </w:rPr>
                <m:t>O</m:t>
              </m:r>
            </m:e>
            <m:sub>
              <m:r>
                <m:rPr>
                  <m:sty m:val="p"/>
                </m:rPr>
                <w:rPr>
                  <w:rFonts w:ascii="Cambria Math" w:hAnsi="Cambria Math"/>
                  <w:szCs w:val="24"/>
                </w:rPr>
                <m:t>2</m:t>
              </m:r>
            </m:sub>
          </m:sSub>
        </m:oMath>
      </m:oMathPara>
    </w:p>
    <w:p w14:paraId="3E52AE58" w14:textId="77777777" w:rsidR="003123B8" w:rsidRPr="003123B8" w:rsidRDefault="003123B8" w:rsidP="00AF3D56">
      <w:pPr>
        <w:pStyle w:val="a3"/>
        <w:numPr>
          <w:ilvl w:val="0"/>
          <w:numId w:val="1"/>
        </w:numPr>
        <w:spacing w:after="0"/>
        <w:ind w:left="284" w:hanging="284"/>
        <w:jc w:val="both"/>
        <w:rPr>
          <w:rFonts w:eastAsiaTheme="minorEastAsia"/>
          <w:szCs w:val="24"/>
        </w:rPr>
      </w:pPr>
      <w:r w:rsidRPr="003123B8">
        <w:rPr>
          <w:rFonts w:eastAsiaTheme="minorEastAsia"/>
          <w:szCs w:val="24"/>
        </w:rPr>
        <w:t xml:space="preserve">Взаимодействие внедренного в структуру анодного материала натрия </w:t>
      </w:r>
      <w:r w:rsidRPr="003123B8">
        <w:rPr>
          <w:rFonts w:eastAsiaTheme="minorEastAsia"/>
          <w:szCs w:val="24"/>
          <w:lang w:val="en-GB"/>
        </w:rPr>
        <w:t>c</w:t>
      </w:r>
      <w:r w:rsidRPr="003123B8">
        <w:rPr>
          <w:rFonts w:eastAsiaTheme="minorEastAsia"/>
          <w:szCs w:val="24"/>
        </w:rPr>
        <w:t xml:space="preserve"> полимерным связующим:</w:t>
      </w:r>
    </w:p>
    <w:p w14:paraId="04F73612" w14:textId="77777777" w:rsidR="003123B8" w:rsidRPr="003123B8" w:rsidRDefault="003123B8" w:rsidP="00AF3D56">
      <w:pPr>
        <w:pStyle w:val="a3"/>
        <w:spacing w:after="0"/>
        <w:ind w:left="284"/>
        <w:jc w:val="both"/>
      </w:pPr>
      <m:oMathPara>
        <m:oMathParaPr>
          <m:jc m:val="left"/>
        </m:oMathParaPr>
        <m:oMath>
          <m:r>
            <w:rPr>
              <w:rFonts w:ascii="Cambria Math" w:hAnsi="Cambria Math"/>
              <w:szCs w:val="24"/>
            </w:rPr>
            <m:t>(-С</m:t>
          </m:r>
          <m:sSub>
            <m:sSubPr>
              <m:ctrlPr>
                <w:rPr>
                  <w:rFonts w:ascii="Cambria Math" w:hAnsi="Cambria Math"/>
                  <w:i/>
                  <w:szCs w:val="24"/>
                  <w:lang w:val="en-GB"/>
                </w:rPr>
              </m:ctrlPr>
            </m:sSubPr>
            <m:e>
              <m:r>
                <w:rPr>
                  <w:rFonts w:ascii="Cambria Math" w:hAnsi="Cambria Math"/>
                  <w:szCs w:val="24"/>
                  <w:lang w:val="en-GB"/>
                </w:rPr>
                <m:t>H</m:t>
              </m:r>
            </m:e>
            <m:sub>
              <m:r>
                <w:rPr>
                  <w:rFonts w:ascii="Cambria Math" w:hAnsi="Cambria Math"/>
                  <w:szCs w:val="24"/>
                </w:rPr>
                <m:t>2</m:t>
              </m:r>
            </m:sub>
          </m:sSub>
          <m:r>
            <w:rPr>
              <w:rFonts w:ascii="Cambria Math" w:hAnsi="Cambria Math"/>
              <w:szCs w:val="24"/>
            </w:rPr>
            <m:t>-</m:t>
          </m:r>
          <m:r>
            <w:rPr>
              <w:rFonts w:ascii="Cambria Math" w:hAnsi="Cambria Math"/>
              <w:szCs w:val="24"/>
              <w:lang w:val="en-GB"/>
            </w:rPr>
            <m:t>C</m:t>
          </m:r>
          <m:sSub>
            <m:sSubPr>
              <m:ctrlPr>
                <w:rPr>
                  <w:rFonts w:ascii="Cambria Math" w:hAnsi="Cambria Math"/>
                  <w:i/>
                  <w:szCs w:val="24"/>
                  <w:lang w:val="en-GB"/>
                </w:rPr>
              </m:ctrlPr>
            </m:sSubPr>
            <m:e>
              <m:r>
                <w:rPr>
                  <w:rFonts w:ascii="Cambria Math" w:hAnsi="Cambria Math"/>
                  <w:szCs w:val="24"/>
                  <w:lang w:val="en-GB"/>
                </w:rPr>
                <m:t>F</m:t>
              </m:r>
            </m:e>
            <m:sub>
              <m:r>
                <w:rPr>
                  <w:rFonts w:ascii="Cambria Math" w:hAnsi="Cambria Math"/>
                  <w:szCs w:val="24"/>
                </w:rPr>
                <m:t>2</m:t>
              </m:r>
            </m:sub>
          </m:sSub>
          <m:r>
            <w:rPr>
              <w:rFonts w:ascii="Cambria Math" w:hAnsi="Cambria Math"/>
              <w:szCs w:val="24"/>
            </w:rPr>
            <m:t>-) +</m:t>
          </m:r>
          <m:r>
            <w:rPr>
              <w:rFonts w:ascii="Cambria Math" w:hAnsi="Cambria Math"/>
              <w:szCs w:val="24"/>
              <w:lang w:val="en-GB"/>
            </w:rPr>
            <m:t>Na</m:t>
          </m:r>
          <m:r>
            <w:rPr>
              <w:rFonts w:ascii="Cambria Math" w:hAnsi="Cambria Math"/>
              <w:szCs w:val="24"/>
            </w:rPr>
            <m:t>→</m:t>
          </m:r>
          <m:r>
            <w:rPr>
              <w:rFonts w:ascii="Cambria Math" w:hAnsi="Cambria Math"/>
              <w:szCs w:val="24"/>
              <w:lang w:val="en-GB"/>
            </w:rPr>
            <m:t>NaF</m:t>
          </m:r>
          <m:r>
            <w:rPr>
              <w:rFonts w:ascii="Cambria Math" w:hAnsi="Cambria Math"/>
              <w:szCs w:val="24"/>
            </w:rPr>
            <m:t>+(-</m:t>
          </m:r>
          <m:r>
            <w:rPr>
              <w:rFonts w:ascii="Cambria Math" w:hAnsi="Cambria Math"/>
              <w:szCs w:val="24"/>
              <w:lang w:val="en-GB"/>
            </w:rPr>
            <m:t>CH</m:t>
          </m:r>
          <m:r>
            <w:rPr>
              <w:rFonts w:ascii="Cambria Math" w:hAnsi="Cambria Math"/>
              <w:szCs w:val="24"/>
            </w:rPr>
            <m:t>=</m:t>
          </m:r>
          <m:r>
            <w:rPr>
              <w:rFonts w:ascii="Cambria Math" w:hAnsi="Cambria Math"/>
              <w:szCs w:val="24"/>
              <w:lang w:val="en-GB"/>
            </w:rPr>
            <m:t>CF</m:t>
          </m:r>
          <m:r>
            <w:rPr>
              <w:rFonts w:ascii="Cambria Math" w:hAnsi="Cambria Math"/>
              <w:szCs w:val="24"/>
            </w:rPr>
            <m:t xml:space="preserve">-) + </m:t>
          </m:r>
          <m:f>
            <m:fPr>
              <m:ctrlPr>
                <w:rPr>
                  <w:rFonts w:ascii="Cambria Math" w:hAnsi="Cambria Math"/>
                  <w:i/>
                  <w:szCs w:val="24"/>
                  <w:lang w:val="en-GB"/>
                </w:rPr>
              </m:ctrlPr>
            </m:fPr>
            <m:num>
              <m:r>
                <w:rPr>
                  <w:rFonts w:ascii="Cambria Math" w:hAnsi="Cambria Math"/>
                  <w:szCs w:val="24"/>
                </w:rPr>
                <m:t>1</m:t>
              </m:r>
            </m:num>
            <m:den>
              <m:r>
                <w:rPr>
                  <w:rFonts w:ascii="Cambria Math" w:hAnsi="Cambria Math"/>
                  <w:szCs w:val="24"/>
                </w:rPr>
                <m:t>2</m:t>
              </m:r>
            </m:den>
          </m:f>
          <m:sSub>
            <m:sSubPr>
              <m:ctrlPr>
                <w:rPr>
                  <w:rFonts w:ascii="Cambria Math" w:hAnsi="Cambria Math"/>
                  <w:i/>
                  <w:szCs w:val="24"/>
                  <w:lang w:val="en-GB"/>
                </w:rPr>
              </m:ctrlPr>
            </m:sSubPr>
            <m:e>
              <m:r>
                <w:rPr>
                  <w:rFonts w:ascii="Cambria Math" w:hAnsi="Cambria Math"/>
                  <w:szCs w:val="24"/>
                  <w:lang w:val="en-GB"/>
                </w:rPr>
                <m:t>H</m:t>
              </m:r>
            </m:e>
            <m:sub>
              <m:r>
                <w:rPr>
                  <w:rFonts w:ascii="Cambria Math" w:hAnsi="Cambria Math"/>
                  <w:szCs w:val="24"/>
                </w:rPr>
                <m:t>2</m:t>
              </m:r>
            </m:sub>
          </m:sSub>
        </m:oMath>
      </m:oMathPara>
    </w:p>
    <w:p w14:paraId="1AE20AB0" w14:textId="77777777" w:rsidR="00302830" w:rsidRPr="00AF3D56" w:rsidRDefault="00D959E5" w:rsidP="00AF3D56">
      <w:pPr>
        <w:spacing w:after="0"/>
        <w:ind w:firstLine="397"/>
        <w:jc w:val="center"/>
        <w:rPr>
          <w:b/>
          <w:lang w:val="en-US"/>
        </w:rPr>
      </w:pPr>
      <w:r w:rsidRPr="00AF3D56">
        <w:rPr>
          <w:b/>
        </w:rPr>
        <w:t>Литература</w:t>
      </w:r>
    </w:p>
    <w:p w14:paraId="6CC0B39D" w14:textId="0E18E7A0" w:rsidR="00302830" w:rsidRPr="00AF3D56" w:rsidRDefault="00302830" w:rsidP="00AF3D56">
      <w:pPr>
        <w:widowControl w:val="0"/>
        <w:autoSpaceDE w:val="0"/>
        <w:autoSpaceDN w:val="0"/>
        <w:adjustRightInd w:val="0"/>
        <w:spacing w:after="0"/>
        <w:jc w:val="both"/>
        <w:rPr>
          <w:rFonts w:cs="Times New Roman"/>
          <w:noProof/>
          <w:szCs w:val="24"/>
          <w:lang w:val="en-US"/>
        </w:rPr>
      </w:pPr>
      <w:r w:rsidRPr="00AF3D56">
        <w:fldChar w:fldCharType="begin" w:fldLock="1"/>
      </w:r>
      <w:r w:rsidRPr="00AF3D56">
        <w:rPr>
          <w:lang w:val="en-US"/>
        </w:rPr>
        <w:instrText xml:space="preserve">ADDIN Mendeley Bibliography CSL_BIBLIOGRAPHY </w:instrText>
      </w:r>
      <w:r w:rsidRPr="00AF3D56">
        <w:fldChar w:fldCharType="separate"/>
      </w:r>
      <w:r w:rsidRPr="00AF3D56">
        <w:rPr>
          <w:rFonts w:cs="Times New Roman"/>
          <w:noProof/>
          <w:szCs w:val="24"/>
          <w:lang w:val="en-US"/>
        </w:rPr>
        <w:t xml:space="preserve">1. Hounjet L. J. Comparing lithium‐ and sodium‐ion batteries for their applicability within energy storage systems // Energy Storage. 2022. </w:t>
      </w:r>
      <w:r w:rsidR="00AF3D56" w:rsidRPr="00AF3D56">
        <w:rPr>
          <w:rFonts w:cs="Times New Roman"/>
          <w:noProof/>
          <w:szCs w:val="24"/>
          <w:lang w:val="en-US"/>
        </w:rPr>
        <w:t xml:space="preserve">V. </w:t>
      </w:r>
      <w:r w:rsidRPr="00AF3D56">
        <w:rPr>
          <w:rFonts w:cs="Times New Roman"/>
          <w:noProof/>
          <w:szCs w:val="24"/>
          <w:lang w:val="en-US"/>
        </w:rPr>
        <w:t xml:space="preserve">№ 3 (4). </w:t>
      </w:r>
      <w:r w:rsidR="00AF3D56" w:rsidRPr="00AF3D56">
        <w:rPr>
          <w:rFonts w:cs="Times New Roman"/>
          <w:noProof/>
          <w:szCs w:val="24"/>
          <w:lang w:val="en-US"/>
        </w:rPr>
        <w:t>P</w:t>
      </w:r>
      <w:r w:rsidRPr="00AF3D56">
        <w:rPr>
          <w:rFonts w:cs="Times New Roman"/>
          <w:noProof/>
          <w:szCs w:val="24"/>
          <w:lang w:val="en-US"/>
        </w:rPr>
        <w:t>. 1–10.</w:t>
      </w:r>
    </w:p>
    <w:p w14:paraId="37B77849" w14:textId="39FE485A" w:rsidR="00302830" w:rsidRPr="00AF3D56" w:rsidRDefault="00302830" w:rsidP="00AF3D56">
      <w:pPr>
        <w:widowControl w:val="0"/>
        <w:autoSpaceDE w:val="0"/>
        <w:autoSpaceDN w:val="0"/>
        <w:adjustRightInd w:val="0"/>
        <w:spacing w:after="0"/>
        <w:jc w:val="both"/>
        <w:rPr>
          <w:rFonts w:cs="Times New Roman"/>
          <w:noProof/>
          <w:szCs w:val="24"/>
          <w:lang w:val="en-US"/>
        </w:rPr>
      </w:pPr>
      <w:r w:rsidRPr="00AF3D56">
        <w:rPr>
          <w:rFonts w:cs="Times New Roman"/>
          <w:noProof/>
          <w:szCs w:val="24"/>
          <w:lang w:val="en-US"/>
        </w:rPr>
        <w:t>2. Rudola A. [</w:t>
      </w:r>
      <w:r w:rsidRPr="00AF3D56">
        <w:rPr>
          <w:rFonts w:cs="Times New Roman"/>
          <w:noProof/>
          <w:szCs w:val="24"/>
        </w:rPr>
        <w:t>и</w:t>
      </w:r>
      <w:r w:rsidRPr="00AF3D56">
        <w:rPr>
          <w:rFonts w:cs="Times New Roman"/>
          <w:noProof/>
          <w:szCs w:val="24"/>
          <w:lang w:val="en-US"/>
        </w:rPr>
        <w:t xml:space="preserve"> </w:t>
      </w:r>
      <w:r w:rsidRPr="00AF3D56">
        <w:rPr>
          <w:rFonts w:cs="Times New Roman"/>
          <w:noProof/>
          <w:szCs w:val="24"/>
        </w:rPr>
        <w:t>др</w:t>
      </w:r>
      <w:r w:rsidRPr="00AF3D56">
        <w:rPr>
          <w:rFonts w:cs="Times New Roman"/>
          <w:noProof/>
          <w:szCs w:val="24"/>
          <w:lang w:val="en-US"/>
        </w:rPr>
        <w:t xml:space="preserve">.]. Commercialisation of high energy density sodium-ion batteries: Faradion’s journey and outlook // Journal of Materials Chemistry A. 2021. </w:t>
      </w:r>
      <w:r w:rsidR="00AF3D56" w:rsidRPr="00AF3D56">
        <w:rPr>
          <w:rFonts w:cs="Times New Roman"/>
          <w:noProof/>
          <w:szCs w:val="24"/>
          <w:lang w:val="en-US"/>
        </w:rPr>
        <w:t xml:space="preserve">V. </w:t>
      </w:r>
      <w:r w:rsidRPr="00AF3D56">
        <w:rPr>
          <w:rFonts w:cs="Times New Roman"/>
          <w:noProof/>
          <w:szCs w:val="24"/>
          <w:lang w:val="en-US"/>
        </w:rPr>
        <w:t xml:space="preserve">№ 13 (9). </w:t>
      </w:r>
      <w:r w:rsidR="00AF3D56" w:rsidRPr="00AF3D56">
        <w:rPr>
          <w:rFonts w:cs="Times New Roman"/>
          <w:noProof/>
          <w:szCs w:val="24"/>
          <w:lang w:val="en-US"/>
        </w:rPr>
        <w:t>P</w:t>
      </w:r>
      <w:r w:rsidRPr="00AF3D56">
        <w:rPr>
          <w:rFonts w:cs="Times New Roman"/>
          <w:noProof/>
          <w:szCs w:val="24"/>
          <w:lang w:val="en-US"/>
        </w:rPr>
        <w:t>. 8279–8302.</w:t>
      </w:r>
    </w:p>
    <w:p w14:paraId="148E51E1" w14:textId="4FAB1BC7" w:rsidR="00302830" w:rsidRPr="00AF3D56" w:rsidRDefault="00302830" w:rsidP="00AF3D56">
      <w:pPr>
        <w:widowControl w:val="0"/>
        <w:autoSpaceDE w:val="0"/>
        <w:autoSpaceDN w:val="0"/>
        <w:adjustRightInd w:val="0"/>
        <w:spacing w:after="0"/>
        <w:jc w:val="both"/>
        <w:rPr>
          <w:rFonts w:cs="Times New Roman"/>
          <w:noProof/>
        </w:rPr>
      </w:pPr>
      <w:r w:rsidRPr="00AF3D56">
        <w:rPr>
          <w:rFonts w:cs="Times New Roman"/>
          <w:noProof/>
          <w:szCs w:val="24"/>
          <w:lang w:val="en-US"/>
        </w:rPr>
        <w:t>3. Zhou Q. [</w:t>
      </w:r>
      <w:r w:rsidRPr="00AF3D56">
        <w:rPr>
          <w:rFonts w:cs="Times New Roman"/>
          <w:noProof/>
          <w:szCs w:val="24"/>
        </w:rPr>
        <w:t>и</w:t>
      </w:r>
      <w:r w:rsidRPr="00AF3D56">
        <w:rPr>
          <w:rFonts w:cs="Times New Roman"/>
          <w:noProof/>
          <w:szCs w:val="24"/>
          <w:lang w:val="en-US"/>
        </w:rPr>
        <w:t xml:space="preserve"> </w:t>
      </w:r>
      <w:r w:rsidRPr="00AF3D56">
        <w:rPr>
          <w:rFonts w:cs="Times New Roman"/>
          <w:noProof/>
          <w:szCs w:val="24"/>
        </w:rPr>
        <w:t>др</w:t>
      </w:r>
      <w:r w:rsidRPr="00AF3D56">
        <w:rPr>
          <w:rFonts w:cs="Times New Roman"/>
          <w:noProof/>
          <w:szCs w:val="24"/>
          <w:lang w:val="en-US"/>
        </w:rPr>
        <w:t xml:space="preserve">.]. Thermal Stability of High Power 26650-Type Cylindrical Na-Ion Batteries // Chinese Physics Letters. </w:t>
      </w:r>
      <w:r w:rsidRPr="00AF3D56">
        <w:rPr>
          <w:rFonts w:cs="Times New Roman"/>
          <w:noProof/>
          <w:szCs w:val="24"/>
        </w:rPr>
        <w:t xml:space="preserve">2021. </w:t>
      </w:r>
      <w:r w:rsidR="00AF3D56" w:rsidRPr="00AF3D56">
        <w:rPr>
          <w:rFonts w:cs="Times New Roman"/>
          <w:noProof/>
          <w:szCs w:val="24"/>
          <w:lang w:val="en-US"/>
        </w:rPr>
        <w:t xml:space="preserve">V. </w:t>
      </w:r>
      <w:r w:rsidRPr="00AF3D56">
        <w:rPr>
          <w:rFonts w:cs="Times New Roman"/>
          <w:noProof/>
          <w:szCs w:val="24"/>
        </w:rPr>
        <w:t>№ 7 (38).</w:t>
      </w:r>
    </w:p>
    <w:p w14:paraId="32E7D18C" w14:textId="77777777" w:rsidR="00302830" w:rsidRPr="00A22121" w:rsidRDefault="00302830" w:rsidP="00AF3D56">
      <w:pPr>
        <w:spacing w:after="0"/>
        <w:ind w:firstLine="397"/>
        <w:jc w:val="both"/>
      </w:pPr>
      <w:r w:rsidRPr="00AF3D56">
        <w:fldChar w:fldCharType="end"/>
      </w:r>
    </w:p>
    <w:sectPr w:rsidR="00302830" w:rsidRPr="00A22121" w:rsidSect="0001426A">
      <w:pgSz w:w="11906" w:h="16838"/>
      <w:pgMar w:top="1134" w:right="1361" w:bottom="1134" w:left="136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CC"/>
    <w:family w:val="swiss"/>
    <w:pitch w:val="variable"/>
    <w:sig w:usb0="E0002AFF" w:usb1="C000ACFF"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B0633A"/>
    <w:multiLevelType w:val="hybridMultilevel"/>
    <w:tmpl w:val="E90AAA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3963650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9"/>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7A5"/>
    <w:rsid w:val="00006830"/>
    <w:rsid w:val="0001426A"/>
    <w:rsid w:val="00262480"/>
    <w:rsid w:val="002D6EBE"/>
    <w:rsid w:val="00302830"/>
    <w:rsid w:val="003123B8"/>
    <w:rsid w:val="00343A5D"/>
    <w:rsid w:val="00343EA8"/>
    <w:rsid w:val="00357CAE"/>
    <w:rsid w:val="004B01FC"/>
    <w:rsid w:val="005B52C2"/>
    <w:rsid w:val="00654FD0"/>
    <w:rsid w:val="007A7A21"/>
    <w:rsid w:val="007D31D8"/>
    <w:rsid w:val="008337A5"/>
    <w:rsid w:val="008F6603"/>
    <w:rsid w:val="009F17E8"/>
    <w:rsid w:val="00A22121"/>
    <w:rsid w:val="00AF3D56"/>
    <w:rsid w:val="00C47F5C"/>
    <w:rsid w:val="00D06671"/>
    <w:rsid w:val="00D959E5"/>
    <w:rsid w:val="00DD21A5"/>
    <w:rsid w:val="00F35D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0C1ACB"/>
  <w15:chartTrackingRefBased/>
  <w15:docId w15:val="{5F127599-E524-4FF5-ADF7-2348C5A18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D31D8"/>
    <w:pPr>
      <w:spacing w:line="240" w:lineRule="auto"/>
    </w:pPr>
    <w:rPr>
      <w:rFonts w:ascii="Times New Roman"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123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763FA6-60E5-45AB-B292-F328F915CD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1841</Words>
  <Characters>10497</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79858</dc:creator>
  <cp:keywords/>
  <dc:description/>
  <cp:lastModifiedBy>Дарья Карлова</cp:lastModifiedBy>
  <cp:revision>2</cp:revision>
  <dcterms:created xsi:type="dcterms:W3CDTF">2023-03-05T20:32:00Z</dcterms:created>
  <dcterms:modified xsi:type="dcterms:W3CDTF">2023-03-05T20:32:00Z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http://www.zotero.org/styles/gost-r-7-0-5-2008-numeric-alphabetical</vt:lpwstr>
  </property>
  <property fmtid="{D5CDD505-2E9C-101B-9397-08002B2CF9AE}" pid="21" name="Mendeley Recent Style Name 9_1">
    <vt:lpwstr>Russian GOST R 7.0.5-2008 (numeric, sorted alphabetically, Russian)</vt:lpwstr>
  </property>
  <property fmtid="{D5CDD505-2E9C-101B-9397-08002B2CF9AE}" pid="22" name="Mendeley Document_1">
    <vt:lpwstr>True</vt:lpwstr>
  </property>
  <property fmtid="{D5CDD505-2E9C-101B-9397-08002B2CF9AE}" pid="23" name="Mendeley Unique User Id_1">
    <vt:lpwstr>2a91c446-23f5-3d47-bc3e-79d3445cf0cd</vt:lpwstr>
  </property>
  <property fmtid="{D5CDD505-2E9C-101B-9397-08002B2CF9AE}" pid="24" name="Mendeley Citation Style_1">
    <vt:lpwstr>http://www.zotero.org/styles/gost-r-7-0-5-2008-numeric-alphabetical</vt:lpwstr>
  </property>
</Properties>
</file>