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B8BAD" w14:textId="6F82F913" w:rsidR="00375AFF" w:rsidRPr="00822C70" w:rsidRDefault="007D65BB">
      <w:pPr>
        <w:pBdr>
          <w:top w:val="nil"/>
          <w:left w:val="nil"/>
          <w:bottom w:val="nil"/>
          <w:right w:val="nil"/>
          <w:between w:val="nil"/>
        </w:pBdr>
        <w:shd w:val="clear" w:color="auto" w:fill="FFFFFF"/>
        <w:jc w:val="center"/>
        <w:rPr>
          <w:b/>
          <w:color w:val="000000" w:themeColor="text1"/>
        </w:rPr>
      </w:pPr>
      <w:r>
        <w:rPr>
          <w:b/>
          <w:color w:val="000000" w:themeColor="text1"/>
        </w:rPr>
        <w:t>Изучение в</w:t>
      </w:r>
      <w:r w:rsidR="0028118E" w:rsidRPr="00822C70">
        <w:rPr>
          <w:b/>
          <w:color w:val="000000" w:themeColor="text1"/>
        </w:rPr>
        <w:t>лияни</w:t>
      </w:r>
      <w:r>
        <w:rPr>
          <w:b/>
          <w:color w:val="000000" w:themeColor="text1"/>
        </w:rPr>
        <w:t>я</w:t>
      </w:r>
      <w:r w:rsidR="0028118E" w:rsidRPr="00822C70">
        <w:rPr>
          <w:b/>
          <w:color w:val="000000" w:themeColor="text1"/>
        </w:rPr>
        <w:t xml:space="preserve"> </w:t>
      </w:r>
      <w:r w:rsidR="007809E7">
        <w:rPr>
          <w:b/>
          <w:color w:val="000000" w:themeColor="text1"/>
        </w:rPr>
        <w:t xml:space="preserve">природы </w:t>
      </w:r>
      <w:r w:rsidR="0028118E" w:rsidRPr="00822C70">
        <w:rPr>
          <w:b/>
          <w:color w:val="000000" w:themeColor="text1"/>
        </w:rPr>
        <w:t xml:space="preserve">носителя на ГДС/ГИД селективность </w:t>
      </w:r>
      <w:r w:rsidR="0028118E" w:rsidRPr="00822C70">
        <w:rPr>
          <w:b/>
          <w:color w:val="000000" w:themeColor="text1"/>
          <w:lang w:val="en-US"/>
        </w:rPr>
        <w:t>Ni</w:t>
      </w:r>
      <w:r w:rsidR="0028118E" w:rsidRPr="00822C70">
        <w:rPr>
          <w:b/>
          <w:color w:val="000000" w:themeColor="text1"/>
        </w:rPr>
        <w:t>-</w:t>
      </w:r>
      <w:r w:rsidR="0028118E" w:rsidRPr="00822C70">
        <w:rPr>
          <w:b/>
          <w:color w:val="000000" w:themeColor="text1"/>
          <w:lang w:val="en-US"/>
        </w:rPr>
        <w:t>Zn</w:t>
      </w:r>
      <w:r w:rsidR="0028118E" w:rsidRPr="00822C70">
        <w:rPr>
          <w:b/>
          <w:color w:val="000000" w:themeColor="text1"/>
        </w:rPr>
        <w:t xml:space="preserve"> систем в </w:t>
      </w:r>
      <w:r>
        <w:rPr>
          <w:b/>
          <w:color w:val="000000" w:themeColor="text1"/>
        </w:rPr>
        <w:t xml:space="preserve">реакционно-адсорбционном </w:t>
      </w:r>
      <w:r w:rsidR="0028118E" w:rsidRPr="00822C70">
        <w:rPr>
          <w:b/>
          <w:color w:val="000000" w:themeColor="text1"/>
        </w:rPr>
        <w:t xml:space="preserve">обессеривании </w:t>
      </w:r>
      <w:r w:rsidR="00B607E4" w:rsidRPr="00822C70">
        <w:rPr>
          <w:b/>
          <w:color w:val="000000" w:themeColor="text1"/>
        </w:rPr>
        <w:t>бензина каталитического крекинга</w:t>
      </w:r>
    </w:p>
    <w:p w14:paraId="00000002" w14:textId="661CDF8F" w:rsidR="00130241" w:rsidRPr="00225C01" w:rsidRDefault="00B607E4">
      <w:pPr>
        <w:pBdr>
          <w:top w:val="nil"/>
          <w:left w:val="nil"/>
          <w:bottom w:val="nil"/>
          <w:right w:val="nil"/>
          <w:between w:val="nil"/>
        </w:pBdr>
        <w:shd w:val="clear" w:color="auto" w:fill="FFFFFF"/>
        <w:jc w:val="center"/>
        <w:rPr>
          <w:color w:val="000000"/>
          <w:vertAlign w:val="superscript"/>
        </w:rPr>
      </w:pPr>
      <w:r w:rsidRPr="00822C70">
        <w:rPr>
          <w:b/>
          <w:i/>
          <w:color w:val="000000" w:themeColor="text1"/>
        </w:rPr>
        <w:t>Ботин А.А.</w:t>
      </w:r>
      <w:r w:rsidR="00EB1F49" w:rsidRPr="00822C70">
        <w:rPr>
          <w:b/>
          <w:i/>
          <w:color w:val="000000" w:themeColor="text1"/>
        </w:rPr>
        <w:t>,</w:t>
      </w:r>
      <w:r w:rsidR="00EB1F49" w:rsidRPr="00822C70">
        <w:rPr>
          <w:b/>
          <w:i/>
          <w:color w:val="000000" w:themeColor="text1"/>
          <w:vertAlign w:val="superscript"/>
        </w:rPr>
        <w:t>1</w:t>
      </w:r>
      <w:r w:rsidR="00225C01" w:rsidRPr="00BE62F8">
        <w:rPr>
          <w:b/>
          <w:i/>
          <w:color w:val="000000" w:themeColor="text1"/>
          <w:vertAlign w:val="superscript"/>
        </w:rPr>
        <w:t>,2</w:t>
      </w:r>
      <w:r w:rsidR="00EB1F49" w:rsidRPr="00822C70">
        <w:rPr>
          <w:b/>
          <w:i/>
          <w:color w:val="000000" w:themeColor="text1"/>
        </w:rPr>
        <w:t xml:space="preserve"> </w:t>
      </w:r>
      <w:r w:rsidR="00225C01" w:rsidRPr="00822C70">
        <w:rPr>
          <w:b/>
          <w:i/>
          <w:color w:val="000000" w:themeColor="text1"/>
        </w:rPr>
        <w:t>Можаев А.В.,</w:t>
      </w:r>
      <w:r w:rsidR="00EB1F49" w:rsidRPr="00BE62F8">
        <w:rPr>
          <w:b/>
          <w:i/>
          <w:color w:val="000000" w:themeColor="text1"/>
          <w:vertAlign w:val="superscript"/>
        </w:rPr>
        <w:t>2</w:t>
      </w:r>
      <w:r w:rsidR="00225C01" w:rsidRPr="00BE62F8">
        <w:rPr>
          <w:b/>
          <w:i/>
          <w:color w:val="000000" w:themeColor="text1"/>
        </w:rPr>
        <w:t xml:space="preserve"> Болдушевский Р.Э.,</w:t>
      </w:r>
      <w:r w:rsidR="00225C01" w:rsidRPr="00BE62F8">
        <w:rPr>
          <w:b/>
          <w:i/>
          <w:color w:val="000000" w:themeColor="text1"/>
          <w:vertAlign w:val="superscript"/>
        </w:rPr>
        <w:t>2</w:t>
      </w:r>
      <w:r w:rsidR="00225C01" w:rsidRPr="00BE62F8">
        <w:rPr>
          <w:b/>
          <w:i/>
          <w:color w:val="000000" w:themeColor="text1"/>
        </w:rPr>
        <w:t xml:space="preserve"> Никульшин П.А.</w:t>
      </w:r>
      <w:r w:rsidR="00225C01" w:rsidRPr="00BE62F8">
        <w:rPr>
          <w:b/>
          <w:i/>
          <w:color w:val="000000" w:themeColor="text1"/>
          <w:vertAlign w:val="superscript"/>
        </w:rPr>
        <w:t>1,2</w:t>
      </w:r>
    </w:p>
    <w:p w14:paraId="00000003" w14:textId="541DA896" w:rsidR="00130241" w:rsidRDefault="00225C01">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w:t>
      </w:r>
      <w:r>
        <w:rPr>
          <w:i/>
          <w:color w:val="000000"/>
        </w:rPr>
        <w:t>3</w:t>
      </w:r>
      <w:r w:rsidR="00EB1F49">
        <w:rPr>
          <w:i/>
          <w:color w:val="000000"/>
        </w:rPr>
        <w:t xml:space="preserve"> </w:t>
      </w:r>
      <w:r>
        <w:rPr>
          <w:i/>
          <w:color w:val="000000"/>
        </w:rPr>
        <w:t>год обучения</w:t>
      </w:r>
    </w:p>
    <w:p w14:paraId="0941AFE0" w14:textId="006E7A41" w:rsidR="0093095A" w:rsidRDefault="00EB1F49" w:rsidP="005F5D72">
      <w:pPr>
        <w:pBdr>
          <w:top w:val="nil"/>
          <w:left w:val="nil"/>
          <w:bottom w:val="nil"/>
          <w:right w:val="nil"/>
          <w:between w:val="nil"/>
        </w:pBdr>
        <w:shd w:val="clear" w:color="auto" w:fill="FFFFFF"/>
        <w:jc w:val="center"/>
        <w:rPr>
          <w:i/>
          <w:color w:val="000000"/>
        </w:rPr>
      </w:pPr>
      <w:r>
        <w:rPr>
          <w:i/>
          <w:color w:val="000000"/>
          <w:vertAlign w:val="superscript"/>
        </w:rPr>
        <w:t>1</w:t>
      </w:r>
      <w:r w:rsidR="005F5D72" w:rsidRPr="005F5D72">
        <w:t xml:space="preserve"> </w:t>
      </w:r>
      <w:r w:rsidR="005F5D72" w:rsidRPr="005F5D72">
        <w:rPr>
          <w:i/>
          <w:color w:val="000000"/>
        </w:rPr>
        <w:t>Российский государственный университет нефти и газа</w:t>
      </w:r>
      <w:r w:rsidR="0093095A">
        <w:rPr>
          <w:i/>
          <w:color w:val="000000"/>
        </w:rPr>
        <w:t xml:space="preserve"> </w:t>
      </w:r>
      <w:r w:rsidR="005F5D72" w:rsidRPr="005F5D72">
        <w:rPr>
          <w:i/>
          <w:color w:val="000000"/>
        </w:rPr>
        <w:t>(национальный исследовательский университет)</w:t>
      </w:r>
      <w:r w:rsidR="0093095A">
        <w:rPr>
          <w:i/>
          <w:color w:val="000000"/>
        </w:rPr>
        <w:t xml:space="preserve"> </w:t>
      </w:r>
      <w:r w:rsidR="005F5D72" w:rsidRPr="005F5D72">
        <w:rPr>
          <w:i/>
          <w:color w:val="000000"/>
        </w:rPr>
        <w:t>имени И.М. Губкина</w:t>
      </w:r>
      <w:r w:rsidR="0093095A">
        <w:rPr>
          <w:i/>
          <w:color w:val="000000"/>
        </w:rPr>
        <w:t>, Москва, Россия</w:t>
      </w:r>
    </w:p>
    <w:p w14:paraId="00000008" w14:textId="017F87A6" w:rsidR="00130241" w:rsidRPr="0008106C" w:rsidRDefault="00EB1F49">
      <w:pPr>
        <w:pBdr>
          <w:top w:val="nil"/>
          <w:left w:val="nil"/>
          <w:bottom w:val="nil"/>
          <w:right w:val="nil"/>
          <w:between w:val="nil"/>
        </w:pBdr>
        <w:shd w:val="clear" w:color="auto" w:fill="FFFFFF"/>
        <w:jc w:val="center"/>
        <w:rPr>
          <w:color w:val="000000"/>
        </w:rPr>
      </w:pPr>
      <w:r>
        <w:rPr>
          <w:i/>
          <w:color w:val="000000"/>
          <w:vertAlign w:val="superscript"/>
        </w:rPr>
        <w:t>2</w:t>
      </w:r>
      <w:r w:rsidR="0093095A" w:rsidRPr="0093095A">
        <w:t xml:space="preserve"> </w:t>
      </w:r>
      <w:r w:rsidR="0093095A" w:rsidRPr="0093095A">
        <w:rPr>
          <w:i/>
          <w:color w:val="000000"/>
        </w:rPr>
        <w:t>Всероссийский научно-исследовательский институт по переработке нефти</w:t>
      </w:r>
      <w:r w:rsidR="00391C38">
        <w:rPr>
          <w:i/>
          <w:color w:val="000000"/>
        </w:rPr>
        <w:t xml:space="preserve">, </w:t>
      </w:r>
      <w:r w:rsidR="0093095A">
        <w:rPr>
          <w:i/>
          <w:color w:val="000000"/>
        </w:rPr>
        <w:br/>
        <w:t>Москва</w:t>
      </w:r>
      <w:r w:rsidR="00BF36F8">
        <w:rPr>
          <w:i/>
          <w:color w:val="000000"/>
        </w:rPr>
        <w:t>, Россия</w:t>
      </w:r>
      <w:r w:rsidR="00BF4622">
        <w:rPr>
          <w:i/>
          <w:color w:val="000000"/>
        </w:rPr>
        <w:br/>
      </w:r>
      <w:r>
        <w:rPr>
          <w:i/>
          <w:color w:val="000000"/>
        </w:rPr>
        <w:t>E</w:t>
      </w:r>
      <w:r w:rsidR="003B76D6">
        <w:rPr>
          <w:i/>
          <w:color w:val="000000"/>
        </w:rPr>
        <w:t>-</w:t>
      </w:r>
      <w:proofErr w:type="spellStart"/>
      <w:r>
        <w:rPr>
          <w:i/>
          <w:color w:val="000000"/>
        </w:rPr>
        <w:t>mail</w:t>
      </w:r>
      <w:proofErr w:type="spellEnd"/>
      <w:r>
        <w:rPr>
          <w:i/>
          <w:color w:val="000000"/>
        </w:rPr>
        <w:t xml:space="preserve">: </w:t>
      </w:r>
      <w:proofErr w:type="spellStart"/>
      <w:r w:rsidR="0008106C">
        <w:rPr>
          <w:i/>
          <w:color w:val="000000"/>
          <w:lang w:val="en-US"/>
        </w:rPr>
        <w:t>botinaa</w:t>
      </w:r>
      <w:proofErr w:type="spellEnd"/>
      <w:r w:rsidR="0008106C" w:rsidRPr="0008106C">
        <w:rPr>
          <w:i/>
          <w:color w:val="000000"/>
        </w:rPr>
        <w:t>@</w:t>
      </w:r>
      <w:proofErr w:type="spellStart"/>
      <w:r w:rsidR="0008106C">
        <w:rPr>
          <w:i/>
          <w:color w:val="000000"/>
          <w:lang w:val="en-US"/>
        </w:rPr>
        <w:t>vniinp</w:t>
      </w:r>
      <w:proofErr w:type="spellEnd"/>
      <w:r w:rsidR="0008106C" w:rsidRPr="0008106C">
        <w:rPr>
          <w:i/>
          <w:color w:val="000000"/>
        </w:rPr>
        <w:t>.</w:t>
      </w:r>
      <w:proofErr w:type="spellStart"/>
      <w:r w:rsidR="0008106C">
        <w:rPr>
          <w:i/>
          <w:color w:val="000000"/>
          <w:lang w:val="en-US"/>
        </w:rPr>
        <w:t>ru</w:t>
      </w:r>
      <w:proofErr w:type="spellEnd"/>
    </w:p>
    <w:p w14:paraId="01B44F0A" w14:textId="5ABD56CC" w:rsidR="0093095A" w:rsidRDefault="00A34CB8" w:rsidP="002264EE">
      <w:pPr>
        <w:pBdr>
          <w:top w:val="nil"/>
          <w:left w:val="nil"/>
          <w:bottom w:val="nil"/>
          <w:right w:val="nil"/>
          <w:between w:val="nil"/>
        </w:pBdr>
        <w:shd w:val="clear" w:color="auto" w:fill="FFFFFF"/>
        <w:ind w:firstLine="397"/>
        <w:jc w:val="both"/>
        <w:rPr>
          <w:color w:val="000000"/>
        </w:rPr>
      </w:pPr>
      <w:r>
        <w:rPr>
          <w:color w:val="000000"/>
        </w:rPr>
        <w:t xml:space="preserve">Удаление сернистых соединений из </w:t>
      </w:r>
      <w:r w:rsidR="00C16A16">
        <w:rPr>
          <w:color w:val="000000"/>
        </w:rPr>
        <w:t>дистиллятных фракций вторичного происхождения является важной задачей современной нефтепереработки с точки зрения экологических характеристик получаемых топлив. Однако для ряда продуктов, например бензина каталитического крекинга (БКК), гидроочистка сопровождается нежелательным процессом гидрирования олефиновых углеводородов, что приводит к снижению октанового числа получаемого продукта. С это</w:t>
      </w:r>
      <w:bookmarkStart w:id="0" w:name="_GoBack"/>
      <w:bookmarkEnd w:id="0"/>
      <w:r w:rsidR="00C16A16">
        <w:rPr>
          <w:color w:val="000000"/>
        </w:rPr>
        <w:t xml:space="preserve">й точки зрения процесс реактивной адсорбции сернистых соединений представляет интерес для селективного обессеривания БКК. Однако никель, который является основным активным компонентов сорбентов, также способен гидрировать олефины, поэтому изучение способов управления селективностью реакций обессеривания по отношению к реакциям гидрирования (ГДС/ГИД селективностью) является актуальной задачей. </w:t>
      </w:r>
    </w:p>
    <w:p w14:paraId="5BABA163" w14:textId="208273FF" w:rsidR="00DF1DFF" w:rsidRDefault="00C16A16" w:rsidP="002264EE">
      <w:pPr>
        <w:pBdr>
          <w:top w:val="nil"/>
          <w:left w:val="nil"/>
          <w:bottom w:val="nil"/>
          <w:right w:val="nil"/>
          <w:between w:val="nil"/>
        </w:pBdr>
        <w:shd w:val="clear" w:color="auto" w:fill="FFFFFF"/>
        <w:ind w:firstLine="397"/>
        <w:jc w:val="both"/>
        <w:rPr>
          <w:color w:val="000000"/>
        </w:rPr>
      </w:pPr>
      <w:r>
        <w:rPr>
          <w:color w:val="000000"/>
        </w:rPr>
        <w:t xml:space="preserve">В настоящей работе рассматривалось влияние взаимодействия между носителем и активной фазой на ГДС/ГИД селективность </w:t>
      </w:r>
      <w:r>
        <w:rPr>
          <w:color w:val="000000"/>
          <w:lang w:val="en-US"/>
        </w:rPr>
        <w:t>Ni</w:t>
      </w:r>
      <w:r w:rsidRPr="00C16A16">
        <w:rPr>
          <w:color w:val="000000"/>
        </w:rPr>
        <w:t>/(</w:t>
      </w:r>
      <w:proofErr w:type="spellStart"/>
      <w:r>
        <w:rPr>
          <w:color w:val="000000"/>
          <w:lang w:val="en-US"/>
        </w:rPr>
        <w:t>ZnO</w:t>
      </w:r>
      <w:proofErr w:type="spellEnd"/>
      <w:r w:rsidRPr="00C16A16">
        <w:rPr>
          <w:color w:val="000000"/>
        </w:rPr>
        <w:t>)-</w:t>
      </w:r>
      <w:proofErr w:type="spellStart"/>
      <w:r>
        <w:rPr>
          <w:color w:val="000000"/>
          <w:lang w:val="en-US"/>
        </w:rPr>
        <w:t>SiO</w:t>
      </w:r>
      <w:proofErr w:type="spellEnd"/>
      <w:r w:rsidRPr="00C16A16">
        <w:rPr>
          <w:color w:val="000000"/>
          <w:vertAlign w:val="subscript"/>
        </w:rPr>
        <w:t>2</w:t>
      </w:r>
      <w:r w:rsidR="00EF39A8" w:rsidRPr="0008106C">
        <w:rPr>
          <w:color w:val="000000"/>
        </w:rPr>
        <w:t>(</w:t>
      </w:r>
      <w:r>
        <w:rPr>
          <w:color w:val="000000"/>
          <w:lang w:val="en-US"/>
        </w:rPr>
        <w:t>Al</w:t>
      </w:r>
      <w:r w:rsidRPr="00C16A16">
        <w:rPr>
          <w:color w:val="000000"/>
          <w:vertAlign w:val="subscript"/>
        </w:rPr>
        <w:t>2</w:t>
      </w:r>
      <w:r>
        <w:rPr>
          <w:color w:val="000000"/>
          <w:lang w:val="en-US"/>
        </w:rPr>
        <w:t>O</w:t>
      </w:r>
      <w:r w:rsidRPr="00C16A16">
        <w:rPr>
          <w:color w:val="000000"/>
          <w:vertAlign w:val="subscript"/>
        </w:rPr>
        <w:t>3</w:t>
      </w:r>
      <w:r w:rsidRPr="00C16A16">
        <w:rPr>
          <w:color w:val="000000"/>
        </w:rPr>
        <w:t xml:space="preserve">) </w:t>
      </w:r>
      <w:r>
        <w:rPr>
          <w:color w:val="000000"/>
        </w:rPr>
        <w:t>адсорбционно-каталитических систем</w:t>
      </w:r>
      <w:r w:rsidR="00663E64">
        <w:rPr>
          <w:color w:val="000000"/>
        </w:rPr>
        <w:t>. Б</w:t>
      </w:r>
      <w:r>
        <w:rPr>
          <w:color w:val="000000"/>
        </w:rPr>
        <w:t>ыл синтезирован ряд сорбентов, нанесенных на различные носители (</w:t>
      </w:r>
      <w:r>
        <w:rPr>
          <w:color w:val="000000"/>
          <w:lang w:val="en-US"/>
        </w:rPr>
        <w:t>Al</w:t>
      </w:r>
      <w:r w:rsidRPr="00C16A16">
        <w:rPr>
          <w:color w:val="000000"/>
          <w:vertAlign w:val="subscript"/>
        </w:rPr>
        <w:t>2</w:t>
      </w:r>
      <w:r>
        <w:rPr>
          <w:color w:val="000000"/>
          <w:lang w:val="en-US"/>
        </w:rPr>
        <w:t>O</w:t>
      </w:r>
      <w:r w:rsidRPr="00C16A16">
        <w:rPr>
          <w:color w:val="000000"/>
          <w:vertAlign w:val="subscript"/>
        </w:rPr>
        <w:t>3</w:t>
      </w:r>
      <w:r w:rsidRPr="00C16A16">
        <w:rPr>
          <w:color w:val="000000"/>
        </w:rPr>
        <w:t xml:space="preserve">, </w:t>
      </w:r>
      <w:r>
        <w:rPr>
          <w:color w:val="000000"/>
          <w:lang w:val="en-US"/>
        </w:rPr>
        <w:t>SiO</w:t>
      </w:r>
      <w:r w:rsidRPr="00C16A16">
        <w:rPr>
          <w:color w:val="000000"/>
          <w:vertAlign w:val="subscript"/>
        </w:rPr>
        <w:t>2</w:t>
      </w:r>
      <w:r w:rsidRPr="00C16A16">
        <w:rPr>
          <w:color w:val="000000"/>
        </w:rPr>
        <w:t xml:space="preserve">, </w:t>
      </w:r>
      <w:r>
        <w:rPr>
          <w:color w:val="000000"/>
          <w:lang w:val="en-US"/>
        </w:rPr>
        <w:t>ZnO</w:t>
      </w:r>
      <w:r w:rsidRPr="00C16A16">
        <w:rPr>
          <w:color w:val="000000"/>
        </w:rPr>
        <w:t>-</w:t>
      </w:r>
      <w:r>
        <w:rPr>
          <w:color w:val="000000"/>
          <w:lang w:val="en-US"/>
        </w:rPr>
        <w:t>Al</w:t>
      </w:r>
      <w:r w:rsidRPr="00C16A16">
        <w:rPr>
          <w:color w:val="000000"/>
          <w:vertAlign w:val="subscript"/>
        </w:rPr>
        <w:t>2</w:t>
      </w:r>
      <w:r>
        <w:rPr>
          <w:color w:val="000000"/>
          <w:lang w:val="en-US"/>
        </w:rPr>
        <w:t>O</w:t>
      </w:r>
      <w:r w:rsidRPr="00C16A16">
        <w:rPr>
          <w:color w:val="000000"/>
          <w:vertAlign w:val="subscript"/>
        </w:rPr>
        <w:t>3</w:t>
      </w:r>
      <w:r w:rsidRPr="00C16A16">
        <w:rPr>
          <w:color w:val="000000"/>
        </w:rPr>
        <w:t xml:space="preserve">, </w:t>
      </w:r>
      <w:r>
        <w:rPr>
          <w:color w:val="000000"/>
          <w:lang w:val="en-US"/>
        </w:rPr>
        <w:t>ZnO</w:t>
      </w:r>
      <w:r w:rsidRPr="00C16A16">
        <w:rPr>
          <w:color w:val="000000"/>
        </w:rPr>
        <w:t>-</w:t>
      </w:r>
      <w:r>
        <w:rPr>
          <w:color w:val="000000"/>
          <w:lang w:val="en-US"/>
        </w:rPr>
        <w:t>SiO</w:t>
      </w:r>
      <w:r w:rsidRPr="00C16A16">
        <w:rPr>
          <w:color w:val="000000"/>
          <w:vertAlign w:val="subscript"/>
        </w:rPr>
        <w:t>2</w:t>
      </w:r>
      <w:r w:rsidRPr="00C16A16">
        <w:rPr>
          <w:color w:val="000000"/>
        </w:rPr>
        <w:t>)</w:t>
      </w:r>
      <w:r w:rsidR="00EF39A8">
        <w:rPr>
          <w:color w:val="000000"/>
        </w:rPr>
        <w:t xml:space="preserve"> с различным содержанием </w:t>
      </w:r>
      <w:r w:rsidR="00EF39A8">
        <w:rPr>
          <w:color w:val="000000"/>
          <w:lang w:val="en-US"/>
        </w:rPr>
        <w:t>Ni</w:t>
      </w:r>
      <w:r w:rsidRPr="00C16A16">
        <w:rPr>
          <w:color w:val="000000"/>
        </w:rPr>
        <w:t xml:space="preserve">. </w:t>
      </w:r>
      <w:r w:rsidR="007809E7">
        <w:rPr>
          <w:color w:val="000000"/>
        </w:rPr>
        <w:t>Сорбенты</w:t>
      </w:r>
      <w:r w:rsidR="00CE74B8">
        <w:rPr>
          <w:color w:val="000000"/>
        </w:rPr>
        <w:t xml:space="preserve"> были исследованы методами температурно-программируемого восстановления</w:t>
      </w:r>
      <w:r w:rsidR="00D70452">
        <w:rPr>
          <w:color w:val="000000"/>
        </w:rPr>
        <w:t xml:space="preserve"> (ТПВ)</w:t>
      </w:r>
      <w:r w:rsidR="00CE74B8">
        <w:rPr>
          <w:color w:val="000000"/>
        </w:rPr>
        <w:t xml:space="preserve">, </w:t>
      </w:r>
      <w:r w:rsidR="00DF1DFF">
        <w:rPr>
          <w:color w:val="000000"/>
        </w:rPr>
        <w:t>рентгеновской дифрактометрии</w:t>
      </w:r>
      <w:r w:rsidR="008D1793">
        <w:rPr>
          <w:color w:val="000000"/>
        </w:rPr>
        <w:t>, рентгеновской фотоэлектронной спектроскопии</w:t>
      </w:r>
      <w:r w:rsidR="00D70452">
        <w:rPr>
          <w:color w:val="000000"/>
        </w:rPr>
        <w:t xml:space="preserve"> (РФ</w:t>
      </w:r>
      <w:r w:rsidR="008D1793">
        <w:rPr>
          <w:color w:val="000000"/>
        </w:rPr>
        <w:t>Э</w:t>
      </w:r>
      <w:r w:rsidR="00D70452">
        <w:rPr>
          <w:color w:val="000000"/>
        </w:rPr>
        <w:t>С</w:t>
      </w:r>
      <w:r w:rsidR="00D70452" w:rsidRPr="00D70452">
        <w:rPr>
          <w:color w:val="000000"/>
        </w:rPr>
        <w:t>)</w:t>
      </w:r>
      <w:r w:rsidR="00DF1DFF">
        <w:rPr>
          <w:color w:val="000000"/>
        </w:rPr>
        <w:t xml:space="preserve"> и просвечивающей электронной </w:t>
      </w:r>
      <w:r w:rsidR="008D1793">
        <w:rPr>
          <w:color w:val="000000"/>
        </w:rPr>
        <w:t>микроскопии</w:t>
      </w:r>
      <w:r w:rsidR="00DF1DFF">
        <w:rPr>
          <w:color w:val="000000"/>
        </w:rPr>
        <w:t>. Обессеривающая активность и ГДС/ГИД селективн</w:t>
      </w:r>
      <w:r w:rsidR="00EF39A8">
        <w:rPr>
          <w:color w:val="000000"/>
        </w:rPr>
        <w:t>ый фактор</w:t>
      </w:r>
      <w:r w:rsidR="00DF1DFF">
        <w:rPr>
          <w:color w:val="000000"/>
        </w:rPr>
        <w:t xml:space="preserve"> </w:t>
      </w:r>
      <w:r w:rsidR="008D1793">
        <w:rPr>
          <w:color w:val="000000"/>
        </w:rPr>
        <w:t>определились</w:t>
      </w:r>
      <w:r w:rsidR="00DF1DFF">
        <w:rPr>
          <w:color w:val="000000"/>
        </w:rPr>
        <w:t xml:space="preserve"> на лабораторной проточной установке при обессеривании модельного сырья (1000 </w:t>
      </w:r>
      <w:r w:rsidR="00DF1DFF">
        <w:rPr>
          <w:color w:val="000000"/>
          <w:lang w:val="en-US"/>
        </w:rPr>
        <w:t>ppm</w:t>
      </w:r>
      <w:r w:rsidR="00DF1DFF" w:rsidRPr="00DF1DFF">
        <w:rPr>
          <w:color w:val="000000"/>
        </w:rPr>
        <w:t xml:space="preserve"> </w:t>
      </w:r>
      <w:r w:rsidR="00DF1DFF">
        <w:rPr>
          <w:color w:val="000000"/>
          <w:lang w:val="en-US"/>
        </w:rPr>
        <w:t>S</w:t>
      </w:r>
      <w:r w:rsidR="00DF1DFF" w:rsidRPr="00DF1DFF">
        <w:rPr>
          <w:color w:val="000000"/>
        </w:rPr>
        <w:t xml:space="preserve">, </w:t>
      </w:r>
      <w:r w:rsidR="00DF1DFF">
        <w:rPr>
          <w:color w:val="000000"/>
        </w:rPr>
        <w:t>20 масс. % олефинов) при температуре 400 °С и давлении 0.5 МПа.</w:t>
      </w:r>
      <w:r w:rsidR="00822C70">
        <w:rPr>
          <w:color w:val="000000"/>
        </w:rPr>
        <w:t xml:space="preserve"> </w:t>
      </w:r>
      <w:r w:rsidR="00DF1DFF">
        <w:rPr>
          <w:color w:val="000000"/>
        </w:rPr>
        <w:t>В таблице 1 приведены результаты исследования образцов с поверхностной концентрацией никеля 6 ат/нм</w:t>
      </w:r>
      <w:r w:rsidR="00DF1DFF" w:rsidRPr="00DF1DFF">
        <w:rPr>
          <w:color w:val="000000"/>
          <w:vertAlign w:val="superscript"/>
        </w:rPr>
        <w:t>2</w:t>
      </w:r>
      <w:r w:rsidR="00DF1DFF">
        <w:rPr>
          <w:color w:val="000000"/>
        </w:rPr>
        <w:t xml:space="preserve">. </w:t>
      </w:r>
    </w:p>
    <w:p w14:paraId="042044AF" w14:textId="77777777" w:rsidR="00B66ED2" w:rsidRDefault="00B66ED2" w:rsidP="002264EE">
      <w:pPr>
        <w:pBdr>
          <w:top w:val="nil"/>
          <w:left w:val="nil"/>
          <w:bottom w:val="nil"/>
          <w:right w:val="nil"/>
          <w:between w:val="nil"/>
        </w:pBdr>
        <w:shd w:val="clear" w:color="auto" w:fill="FFFFFF"/>
        <w:ind w:firstLine="397"/>
        <w:jc w:val="both"/>
        <w:rPr>
          <w:color w:val="000000"/>
        </w:rPr>
      </w:pPr>
    </w:p>
    <w:p w14:paraId="6D932564" w14:textId="1C08BFF9" w:rsidR="00DF1DFF" w:rsidRDefault="00DF1DFF" w:rsidP="00DF1DFF">
      <w:pPr>
        <w:pBdr>
          <w:top w:val="nil"/>
          <w:left w:val="nil"/>
          <w:bottom w:val="nil"/>
          <w:right w:val="nil"/>
          <w:between w:val="nil"/>
        </w:pBdr>
        <w:shd w:val="clear" w:color="auto" w:fill="FFFFFF"/>
        <w:jc w:val="both"/>
        <w:rPr>
          <w:color w:val="000000"/>
        </w:rPr>
      </w:pPr>
      <w:r>
        <w:rPr>
          <w:color w:val="000000"/>
        </w:rPr>
        <w:t>Таблица 1. Результаты исследований образцов сорбентов</w:t>
      </w:r>
    </w:p>
    <w:tbl>
      <w:tblPr>
        <w:tblStyle w:val="aa"/>
        <w:tblW w:w="0" w:type="auto"/>
        <w:tblLook w:val="04A0" w:firstRow="1" w:lastRow="0" w:firstColumn="1" w:lastColumn="0" w:noHBand="0" w:noVBand="1"/>
      </w:tblPr>
      <w:tblGrid>
        <w:gridCol w:w="1696"/>
        <w:gridCol w:w="1843"/>
        <w:gridCol w:w="1965"/>
        <w:gridCol w:w="1835"/>
        <w:gridCol w:w="1835"/>
      </w:tblGrid>
      <w:tr w:rsidR="00DF1DFF" w:rsidRPr="00DF1DFF" w14:paraId="44709DA8" w14:textId="77777777" w:rsidTr="00DF1DFF">
        <w:tc>
          <w:tcPr>
            <w:tcW w:w="1696" w:type="dxa"/>
            <w:vAlign w:val="center"/>
          </w:tcPr>
          <w:p w14:paraId="0294F082" w14:textId="300C2DD2" w:rsidR="00DF1DFF" w:rsidRPr="00DF1DFF" w:rsidRDefault="00DF1DFF" w:rsidP="00DF1DFF">
            <w:pPr>
              <w:jc w:val="center"/>
              <w:rPr>
                <w:color w:val="000000"/>
                <w:sz w:val="22"/>
                <w:szCs w:val="22"/>
              </w:rPr>
            </w:pPr>
            <w:r>
              <w:rPr>
                <w:color w:val="000000"/>
                <w:sz w:val="22"/>
                <w:szCs w:val="22"/>
              </w:rPr>
              <w:t>Образец</w:t>
            </w:r>
          </w:p>
        </w:tc>
        <w:tc>
          <w:tcPr>
            <w:tcW w:w="1843" w:type="dxa"/>
            <w:vAlign w:val="center"/>
          </w:tcPr>
          <w:p w14:paraId="26DB4FCB" w14:textId="677FD030" w:rsidR="00DF1DFF" w:rsidRPr="00DF1DFF" w:rsidRDefault="00DF1DFF" w:rsidP="00DF1DFF">
            <w:pPr>
              <w:jc w:val="center"/>
              <w:rPr>
                <w:color w:val="000000"/>
                <w:sz w:val="22"/>
                <w:szCs w:val="22"/>
              </w:rPr>
            </w:pPr>
            <w:r>
              <w:rPr>
                <w:color w:val="000000"/>
                <w:sz w:val="22"/>
                <w:szCs w:val="22"/>
              </w:rPr>
              <w:t>Температура пика ТПВ, °С</w:t>
            </w:r>
          </w:p>
        </w:tc>
        <w:tc>
          <w:tcPr>
            <w:tcW w:w="1965" w:type="dxa"/>
            <w:vAlign w:val="center"/>
          </w:tcPr>
          <w:p w14:paraId="4690EACD" w14:textId="376EE3F8" w:rsidR="00DF1DFF" w:rsidRPr="00DF1DFF" w:rsidRDefault="00DF1DFF" w:rsidP="00DF1DFF">
            <w:pPr>
              <w:jc w:val="center"/>
              <w:rPr>
                <w:color w:val="000000"/>
                <w:sz w:val="22"/>
                <w:szCs w:val="22"/>
              </w:rPr>
            </w:pPr>
            <w:r>
              <w:rPr>
                <w:color w:val="000000"/>
                <w:sz w:val="22"/>
                <w:szCs w:val="22"/>
              </w:rPr>
              <w:t>Дисперсность активной фазы, %</w:t>
            </w:r>
          </w:p>
        </w:tc>
        <w:tc>
          <w:tcPr>
            <w:tcW w:w="1835" w:type="dxa"/>
            <w:vAlign w:val="center"/>
          </w:tcPr>
          <w:p w14:paraId="408C92F7" w14:textId="078301F0" w:rsidR="00DF1DFF" w:rsidRPr="00DF1DFF" w:rsidRDefault="00DF1DFF" w:rsidP="00DF1DFF">
            <w:pPr>
              <w:jc w:val="center"/>
              <w:rPr>
                <w:color w:val="000000"/>
                <w:sz w:val="22"/>
                <w:szCs w:val="22"/>
              </w:rPr>
            </w:pPr>
            <w:r>
              <w:rPr>
                <w:color w:val="000000"/>
                <w:sz w:val="22"/>
                <w:szCs w:val="22"/>
              </w:rPr>
              <w:t>ГДС, %</w:t>
            </w:r>
          </w:p>
        </w:tc>
        <w:tc>
          <w:tcPr>
            <w:tcW w:w="1835" w:type="dxa"/>
            <w:vAlign w:val="center"/>
          </w:tcPr>
          <w:p w14:paraId="6BEED50F" w14:textId="6D4AED00" w:rsidR="00DF1DFF" w:rsidRPr="00DF1DFF" w:rsidRDefault="00DF1DFF" w:rsidP="00DF1DFF">
            <w:pPr>
              <w:jc w:val="center"/>
              <w:rPr>
                <w:color w:val="000000"/>
                <w:sz w:val="22"/>
                <w:szCs w:val="22"/>
              </w:rPr>
            </w:pPr>
            <w:r>
              <w:rPr>
                <w:color w:val="000000"/>
                <w:sz w:val="22"/>
                <w:szCs w:val="22"/>
              </w:rPr>
              <w:t>Селективный фактор</w:t>
            </w:r>
          </w:p>
        </w:tc>
      </w:tr>
      <w:tr w:rsidR="00DF1DFF" w:rsidRPr="00DF1DFF" w14:paraId="7545A548" w14:textId="77777777" w:rsidTr="00DF1DFF">
        <w:tc>
          <w:tcPr>
            <w:tcW w:w="1696" w:type="dxa"/>
            <w:vAlign w:val="center"/>
          </w:tcPr>
          <w:p w14:paraId="2F5CFD97" w14:textId="63DA07F8" w:rsidR="00DF1DFF" w:rsidRPr="00DF1DFF" w:rsidRDefault="00DF1DFF" w:rsidP="00DF1DFF">
            <w:pPr>
              <w:jc w:val="center"/>
              <w:rPr>
                <w:color w:val="000000"/>
                <w:sz w:val="22"/>
                <w:szCs w:val="22"/>
              </w:rPr>
            </w:pPr>
            <w:r>
              <w:rPr>
                <w:color w:val="000000"/>
                <w:lang w:val="en-US"/>
              </w:rPr>
              <w:t>Ni</w:t>
            </w:r>
            <w:r w:rsidRPr="00C16A16">
              <w:rPr>
                <w:color w:val="000000"/>
              </w:rPr>
              <w:t>/</w:t>
            </w:r>
            <w:r>
              <w:rPr>
                <w:color w:val="000000"/>
                <w:lang w:val="en-US"/>
              </w:rPr>
              <w:t>Al</w:t>
            </w:r>
            <w:r w:rsidRPr="00C16A16">
              <w:rPr>
                <w:color w:val="000000"/>
                <w:vertAlign w:val="subscript"/>
              </w:rPr>
              <w:t>2</w:t>
            </w:r>
            <w:r>
              <w:rPr>
                <w:color w:val="000000"/>
                <w:lang w:val="en-US"/>
              </w:rPr>
              <w:t>O</w:t>
            </w:r>
            <w:r w:rsidRPr="00C16A16">
              <w:rPr>
                <w:color w:val="000000"/>
                <w:vertAlign w:val="subscript"/>
              </w:rPr>
              <w:t>3</w:t>
            </w:r>
          </w:p>
        </w:tc>
        <w:tc>
          <w:tcPr>
            <w:tcW w:w="1843" w:type="dxa"/>
            <w:vAlign w:val="center"/>
          </w:tcPr>
          <w:p w14:paraId="1D794F3E" w14:textId="10337127" w:rsidR="00DF1DFF" w:rsidRPr="00B66ED2" w:rsidRDefault="00B66ED2" w:rsidP="00DF1DFF">
            <w:pPr>
              <w:jc w:val="center"/>
              <w:rPr>
                <w:color w:val="000000"/>
                <w:sz w:val="22"/>
                <w:szCs w:val="22"/>
                <w:lang w:val="en-US"/>
              </w:rPr>
            </w:pPr>
            <w:r>
              <w:rPr>
                <w:color w:val="000000"/>
                <w:sz w:val="22"/>
                <w:szCs w:val="22"/>
                <w:lang w:val="en-US"/>
              </w:rPr>
              <w:t>614</w:t>
            </w:r>
          </w:p>
        </w:tc>
        <w:tc>
          <w:tcPr>
            <w:tcW w:w="1965" w:type="dxa"/>
            <w:vAlign w:val="center"/>
          </w:tcPr>
          <w:p w14:paraId="51E1B8A4" w14:textId="493FE539" w:rsidR="00DF1DFF" w:rsidRPr="00B66ED2" w:rsidRDefault="00B66ED2" w:rsidP="00DF1DFF">
            <w:pPr>
              <w:jc w:val="center"/>
              <w:rPr>
                <w:color w:val="000000"/>
                <w:sz w:val="22"/>
                <w:szCs w:val="22"/>
                <w:lang w:val="en-US"/>
              </w:rPr>
            </w:pPr>
            <w:r>
              <w:rPr>
                <w:color w:val="000000"/>
                <w:sz w:val="22"/>
                <w:szCs w:val="22"/>
                <w:lang w:val="en-US"/>
              </w:rPr>
              <w:t>16.3</w:t>
            </w:r>
          </w:p>
        </w:tc>
        <w:tc>
          <w:tcPr>
            <w:tcW w:w="1835" w:type="dxa"/>
            <w:vAlign w:val="center"/>
          </w:tcPr>
          <w:p w14:paraId="5B75517B" w14:textId="5FE5B210" w:rsidR="00DF1DFF" w:rsidRPr="00B66ED2" w:rsidRDefault="00B66ED2" w:rsidP="00DF1DFF">
            <w:pPr>
              <w:jc w:val="center"/>
              <w:rPr>
                <w:color w:val="000000"/>
                <w:sz w:val="22"/>
                <w:szCs w:val="22"/>
                <w:lang w:val="en-US"/>
              </w:rPr>
            </w:pPr>
            <w:r>
              <w:rPr>
                <w:color w:val="000000"/>
                <w:sz w:val="22"/>
                <w:szCs w:val="22"/>
                <w:lang w:val="en-US"/>
              </w:rPr>
              <w:t>96.7</w:t>
            </w:r>
          </w:p>
        </w:tc>
        <w:tc>
          <w:tcPr>
            <w:tcW w:w="1835" w:type="dxa"/>
            <w:vAlign w:val="center"/>
          </w:tcPr>
          <w:p w14:paraId="3EC3B6B9" w14:textId="411E384D" w:rsidR="00DF1DFF" w:rsidRPr="00B66ED2" w:rsidRDefault="00B66ED2" w:rsidP="00DF1DFF">
            <w:pPr>
              <w:jc w:val="center"/>
              <w:rPr>
                <w:color w:val="000000"/>
                <w:sz w:val="22"/>
                <w:szCs w:val="22"/>
                <w:lang w:val="en-US"/>
              </w:rPr>
            </w:pPr>
            <w:r>
              <w:rPr>
                <w:color w:val="000000"/>
                <w:sz w:val="22"/>
                <w:szCs w:val="22"/>
                <w:lang w:val="en-US"/>
              </w:rPr>
              <w:t>1.49</w:t>
            </w:r>
          </w:p>
        </w:tc>
      </w:tr>
      <w:tr w:rsidR="00DF1DFF" w:rsidRPr="00DF1DFF" w14:paraId="7E4ED2FC" w14:textId="77777777" w:rsidTr="00DF1DFF">
        <w:tc>
          <w:tcPr>
            <w:tcW w:w="1696" w:type="dxa"/>
            <w:vAlign w:val="center"/>
          </w:tcPr>
          <w:p w14:paraId="7EE67CDD" w14:textId="200C11D2" w:rsidR="00DF1DFF" w:rsidRPr="00DF1DFF" w:rsidRDefault="00DF1DFF" w:rsidP="00DF1DFF">
            <w:pPr>
              <w:jc w:val="center"/>
              <w:rPr>
                <w:color w:val="000000"/>
                <w:sz w:val="22"/>
                <w:szCs w:val="22"/>
              </w:rPr>
            </w:pPr>
            <w:r>
              <w:rPr>
                <w:color w:val="000000"/>
                <w:lang w:val="en-US"/>
              </w:rPr>
              <w:t>Ni</w:t>
            </w:r>
            <w:r w:rsidRPr="00C16A16">
              <w:rPr>
                <w:color w:val="000000"/>
              </w:rPr>
              <w:t>/</w:t>
            </w:r>
            <w:r>
              <w:rPr>
                <w:color w:val="000000"/>
                <w:lang w:val="en-US"/>
              </w:rPr>
              <w:t>ZnO-Al</w:t>
            </w:r>
            <w:r w:rsidRPr="00C16A16">
              <w:rPr>
                <w:color w:val="000000"/>
                <w:vertAlign w:val="subscript"/>
              </w:rPr>
              <w:t>2</w:t>
            </w:r>
            <w:r>
              <w:rPr>
                <w:color w:val="000000"/>
                <w:lang w:val="en-US"/>
              </w:rPr>
              <w:t>O</w:t>
            </w:r>
            <w:r w:rsidRPr="00C16A16">
              <w:rPr>
                <w:color w:val="000000"/>
                <w:vertAlign w:val="subscript"/>
              </w:rPr>
              <w:t>3</w:t>
            </w:r>
          </w:p>
        </w:tc>
        <w:tc>
          <w:tcPr>
            <w:tcW w:w="1843" w:type="dxa"/>
            <w:vAlign w:val="center"/>
          </w:tcPr>
          <w:p w14:paraId="6B5128B0" w14:textId="098519C6" w:rsidR="00DF1DFF" w:rsidRPr="00B66ED2" w:rsidRDefault="00B66ED2" w:rsidP="00DF1DFF">
            <w:pPr>
              <w:jc w:val="center"/>
              <w:rPr>
                <w:color w:val="000000"/>
                <w:sz w:val="22"/>
                <w:szCs w:val="22"/>
                <w:lang w:val="en-US"/>
              </w:rPr>
            </w:pPr>
            <w:r>
              <w:rPr>
                <w:color w:val="000000"/>
                <w:sz w:val="22"/>
                <w:szCs w:val="22"/>
                <w:lang w:val="en-US"/>
              </w:rPr>
              <w:t>544</w:t>
            </w:r>
          </w:p>
        </w:tc>
        <w:tc>
          <w:tcPr>
            <w:tcW w:w="1965" w:type="dxa"/>
            <w:vAlign w:val="center"/>
          </w:tcPr>
          <w:p w14:paraId="2392D243" w14:textId="148D85C1" w:rsidR="00DF1DFF" w:rsidRPr="00B66ED2" w:rsidRDefault="00B66ED2" w:rsidP="00DF1DFF">
            <w:pPr>
              <w:jc w:val="center"/>
              <w:rPr>
                <w:color w:val="000000"/>
                <w:sz w:val="22"/>
                <w:szCs w:val="22"/>
                <w:lang w:val="en-US"/>
              </w:rPr>
            </w:pPr>
            <w:r>
              <w:rPr>
                <w:color w:val="000000"/>
                <w:sz w:val="22"/>
                <w:szCs w:val="22"/>
                <w:lang w:val="en-US"/>
              </w:rPr>
              <w:t>19.8</w:t>
            </w:r>
          </w:p>
        </w:tc>
        <w:tc>
          <w:tcPr>
            <w:tcW w:w="1835" w:type="dxa"/>
            <w:vAlign w:val="center"/>
          </w:tcPr>
          <w:p w14:paraId="52992496" w14:textId="3E4326BD" w:rsidR="00DF1DFF" w:rsidRPr="00B66ED2" w:rsidRDefault="00B66ED2" w:rsidP="00DF1DFF">
            <w:pPr>
              <w:jc w:val="center"/>
              <w:rPr>
                <w:color w:val="000000"/>
                <w:sz w:val="22"/>
                <w:szCs w:val="22"/>
                <w:lang w:val="en-US"/>
              </w:rPr>
            </w:pPr>
            <w:r>
              <w:rPr>
                <w:color w:val="000000"/>
                <w:sz w:val="22"/>
                <w:szCs w:val="22"/>
                <w:lang w:val="en-US"/>
              </w:rPr>
              <w:t>94.2</w:t>
            </w:r>
          </w:p>
        </w:tc>
        <w:tc>
          <w:tcPr>
            <w:tcW w:w="1835" w:type="dxa"/>
            <w:vAlign w:val="center"/>
          </w:tcPr>
          <w:p w14:paraId="581D7CEF" w14:textId="06478B1C" w:rsidR="00DF1DFF" w:rsidRPr="00B66ED2" w:rsidRDefault="00B66ED2" w:rsidP="00DF1DFF">
            <w:pPr>
              <w:jc w:val="center"/>
              <w:rPr>
                <w:color w:val="000000"/>
                <w:sz w:val="22"/>
                <w:szCs w:val="22"/>
                <w:lang w:val="en-US"/>
              </w:rPr>
            </w:pPr>
            <w:r>
              <w:rPr>
                <w:color w:val="000000"/>
                <w:sz w:val="22"/>
                <w:szCs w:val="22"/>
                <w:lang w:val="en-US"/>
              </w:rPr>
              <w:t>1.05</w:t>
            </w:r>
          </w:p>
        </w:tc>
      </w:tr>
      <w:tr w:rsidR="00DF1DFF" w:rsidRPr="00DF1DFF" w14:paraId="0A5BC9DA" w14:textId="77777777" w:rsidTr="00DF1DFF">
        <w:tc>
          <w:tcPr>
            <w:tcW w:w="1696" w:type="dxa"/>
            <w:vAlign w:val="center"/>
          </w:tcPr>
          <w:p w14:paraId="10E2B93C" w14:textId="034D7F1A" w:rsidR="00DF1DFF" w:rsidRPr="00DF1DFF" w:rsidRDefault="00DF1DFF" w:rsidP="00DF1DFF">
            <w:pPr>
              <w:jc w:val="center"/>
              <w:rPr>
                <w:color w:val="000000"/>
                <w:sz w:val="22"/>
                <w:szCs w:val="22"/>
              </w:rPr>
            </w:pPr>
            <w:r>
              <w:rPr>
                <w:color w:val="000000"/>
                <w:lang w:val="en-US"/>
              </w:rPr>
              <w:t>Ni</w:t>
            </w:r>
            <w:r w:rsidRPr="00C16A16">
              <w:rPr>
                <w:color w:val="000000"/>
              </w:rPr>
              <w:t>/</w:t>
            </w:r>
            <w:r>
              <w:rPr>
                <w:color w:val="000000"/>
                <w:lang w:val="en-US"/>
              </w:rPr>
              <w:t>SiO</w:t>
            </w:r>
            <w:r w:rsidRPr="00C16A16">
              <w:rPr>
                <w:color w:val="000000"/>
                <w:vertAlign w:val="subscript"/>
              </w:rPr>
              <w:t>2</w:t>
            </w:r>
          </w:p>
        </w:tc>
        <w:tc>
          <w:tcPr>
            <w:tcW w:w="1843" w:type="dxa"/>
            <w:vAlign w:val="center"/>
          </w:tcPr>
          <w:p w14:paraId="64E8F448" w14:textId="4CC34C39" w:rsidR="00DF1DFF" w:rsidRPr="00B66ED2" w:rsidRDefault="00B66ED2" w:rsidP="00DF1DFF">
            <w:pPr>
              <w:jc w:val="center"/>
              <w:rPr>
                <w:color w:val="000000"/>
                <w:sz w:val="22"/>
                <w:szCs w:val="22"/>
                <w:lang w:val="en-US"/>
              </w:rPr>
            </w:pPr>
            <w:r>
              <w:rPr>
                <w:color w:val="000000"/>
                <w:sz w:val="22"/>
                <w:szCs w:val="22"/>
                <w:lang w:val="en-US"/>
              </w:rPr>
              <w:t>407</w:t>
            </w:r>
          </w:p>
        </w:tc>
        <w:tc>
          <w:tcPr>
            <w:tcW w:w="1965" w:type="dxa"/>
            <w:vAlign w:val="center"/>
          </w:tcPr>
          <w:p w14:paraId="57F064EB" w14:textId="5768FA16" w:rsidR="00DF1DFF" w:rsidRPr="00B66ED2" w:rsidRDefault="00B66ED2" w:rsidP="00DF1DFF">
            <w:pPr>
              <w:jc w:val="center"/>
              <w:rPr>
                <w:color w:val="000000"/>
                <w:sz w:val="22"/>
                <w:szCs w:val="22"/>
                <w:lang w:val="en-US"/>
              </w:rPr>
            </w:pPr>
            <w:r>
              <w:rPr>
                <w:color w:val="000000"/>
                <w:sz w:val="22"/>
                <w:szCs w:val="22"/>
                <w:lang w:val="en-US"/>
              </w:rPr>
              <w:t>9.2</w:t>
            </w:r>
          </w:p>
        </w:tc>
        <w:tc>
          <w:tcPr>
            <w:tcW w:w="1835" w:type="dxa"/>
            <w:vAlign w:val="center"/>
          </w:tcPr>
          <w:p w14:paraId="3C5C6164" w14:textId="47820FE1" w:rsidR="00DF1DFF" w:rsidRPr="00B66ED2" w:rsidRDefault="00B66ED2" w:rsidP="00DF1DFF">
            <w:pPr>
              <w:jc w:val="center"/>
              <w:rPr>
                <w:color w:val="000000"/>
                <w:sz w:val="22"/>
                <w:szCs w:val="22"/>
                <w:lang w:val="en-US"/>
              </w:rPr>
            </w:pPr>
            <w:r>
              <w:rPr>
                <w:color w:val="000000"/>
                <w:sz w:val="22"/>
                <w:szCs w:val="22"/>
                <w:lang w:val="en-US"/>
              </w:rPr>
              <w:t>90.4</w:t>
            </w:r>
          </w:p>
        </w:tc>
        <w:tc>
          <w:tcPr>
            <w:tcW w:w="1835" w:type="dxa"/>
            <w:vAlign w:val="center"/>
          </w:tcPr>
          <w:p w14:paraId="3F1100E3" w14:textId="06815BDC" w:rsidR="00DF1DFF" w:rsidRPr="00B66ED2" w:rsidRDefault="00B66ED2" w:rsidP="00DF1DFF">
            <w:pPr>
              <w:jc w:val="center"/>
              <w:rPr>
                <w:color w:val="000000"/>
                <w:sz w:val="22"/>
                <w:szCs w:val="22"/>
                <w:lang w:val="en-US"/>
              </w:rPr>
            </w:pPr>
            <w:r>
              <w:rPr>
                <w:color w:val="000000"/>
                <w:sz w:val="22"/>
                <w:szCs w:val="22"/>
                <w:lang w:val="en-US"/>
              </w:rPr>
              <w:t>1.66</w:t>
            </w:r>
          </w:p>
        </w:tc>
      </w:tr>
      <w:tr w:rsidR="00DF1DFF" w:rsidRPr="00DF1DFF" w14:paraId="3050E703" w14:textId="77777777" w:rsidTr="00DF1DFF">
        <w:tc>
          <w:tcPr>
            <w:tcW w:w="1696" w:type="dxa"/>
            <w:vAlign w:val="center"/>
          </w:tcPr>
          <w:p w14:paraId="38D033B2" w14:textId="77C3D818" w:rsidR="00DF1DFF" w:rsidRPr="00DF1DFF" w:rsidRDefault="00DF1DFF" w:rsidP="00DF1DFF">
            <w:pPr>
              <w:jc w:val="center"/>
              <w:rPr>
                <w:color w:val="000000"/>
                <w:sz w:val="22"/>
                <w:szCs w:val="22"/>
              </w:rPr>
            </w:pPr>
            <w:r>
              <w:rPr>
                <w:color w:val="000000"/>
                <w:lang w:val="en-US"/>
              </w:rPr>
              <w:t>Ni</w:t>
            </w:r>
            <w:r w:rsidRPr="00C16A16">
              <w:rPr>
                <w:color w:val="000000"/>
              </w:rPr>
              <w:t>/</w:t>
            </w:r>
            <w:r>
              <w:rPr>
                <w:color w:val="000000"/>
                <w:lang w:val="en-US"/>
              </w:rPr>
              <w:t>ZnO</w:t>
            </w:r>
            <w:r w:rsidRPr="00C16A16">
              <w:rPr>
                <w:color w:val="000000"/>
              </w:rPr>
              <w:t>-</w:t>
            </w:r>
            <w:r>
              <w:rPr>
                <w:color w:val="000000"/>
                <w:lang w:val="en-US"/>
              </w:rPr>
              <w:t>SiO</w:t>
            </w:r>
            <w:r w:rsidRPr="00C16A16">
              <w:rPr>
                <w:color w:val="000000"/>
                <w:vertAlign w:val="subscript"/>
              </w:rPr>
              <w:t>2</w:t>
            </w:r>
          </w:p>
        </w:tc>
        <w:tc>
          <w:tcPr>
            <w:tcW w:w="1843" w:type="dxa"/>
            <w:vAlign w:val="center"/>
          </w:tcPr>
          <w:p w14:paraId="265C13CD" w14:textId="1C4B1B70" w:rsidR="00DF1DFF" w:rsidRPr="00B66ED2" w:rsidRDefault="00B66ED2" w:rsidP="00DF1DFF">
            <w:pPr>
              <w:jc w:val="center"/>
              <w:rPr>
                <w:color w:val="000000"/>
                <w:sz w:val="22"/>
                <w:szCs w:val="22"/>
                <w:lang w:val="en-US"/>
              </w:rPr>
            </w:pPr>
            <w:r>
              <w:rPr>
                <w:color w:val="000000"/>
                <w:sz w:val="22"/>
                <w:szCs w:val="22"/>
                <w:lang w:val="en-US"/>
              </w:rPr>
              <w:t>596</w:t>
            </w:r>
          </w:p>
        </w:tc>
        <w:tc>
          <w:tcPr>
            <w:tcW w:w="1965" w:type="dxa"/>
            <w:vAlign w:val="center"/>
          </w:tcPr>
          <w:p w14:paraId="357054AC" w14:textId="194DBC34" w:rsidR="00DF1DFF" w:rsidRPr="00B66ED2" w:rsidRDefault="00B66ED2" w:rsidP="00DF1DFF">
            <w:pPr>
              <w:jc w:val="center"/>
              <w:rPr>
                <w:color w:val="000000"/>
                <w:sz w:val="22"/>
                <w:szCs w:val="22"/>
                <w:lang w:val="en-US"/>
              </w:rPr>
            </w:pPr>
            <w:r>
              <w:rPr>
                <w:color w:val="000000"/>
                <w:sz w:val="22"/>
                <w:szCs w:val="22"/>
                <w:lang w:val="en-US"/>
              </w:rPr>
              <w:t>14.7</w:t>
            </w:r>
          </w:p>
        </w:tc>
        <w:tc>
          <w:tcPr>
            <w:tcW w:w="1835" w:type="dxa"/>
            <w:vAlign w:val="center"/>
          </w:tcPr>
          <w:p w14:paraId="316D22FA" w14:textId="1A71300F" w:rsidR="00DF1DFF" w:rsidRPr="00B66ED2" w:rsidRDefault="00B66ED2" w:rsidP="00DF1DFF">
            <w:pPr>
              <w:jc w:val="center"/>
              <w:rPr>
                <w:color w:val="000000"/>
                <w:sz w:val="22"/>
                <w:szCs w:val="22"/>
                <w:lang w:val="en-US"/>
              </w:rPr>
            </w:pPr>
            <w:r>
              <w:rPr>
                <w:color w:val="000000"/>
                <w:sz w:val="22"/>
                <w:szCs w:val="22"/>
                <w:lang w:val="en-US"/>
              </w:rPr>
              <w:t>93.5</w:t>
            </w:r>
          </w:p>
        </w:tc>
        <w:tc>
          <w:tcPr>
            <w:tcW w:w="1835" w:type="dxa"/>
            <w:vAlign w:val="center"/>
          </w:tcPr>
          <w:p w14:paraId="42E39827" w14:textId="2573E146" w:rsidR="00DF1DFF" w:rsidRPr="00B66ED2" w:rsidRDefault="00B66ED2" w:rsidP="00DF1DFF">
            <w:pPr>
              <w:jc w:val="center"/>
              <w:rPr>
                <w:color w:val="000000"/>
                <w:sz w:val="22"/>
                <w:szCs w:val="22"/>
                <w:lang w:val="en-US"/>
              </w:rPr>
            </w:pPr>
            <w:r>
              <w:rPr>
                <w:color w:val="000000"/>
                <w:sz w:val="22"/>
                <w:szCs w:val="22"/>
                <w:lang w:val="en-US"/>
              </w:rPr>
              <w:t>3.46</w:t>
            </w:r>
          </w:p>
        </w:tc>
      </w:tr>
    </w:tbl>
    <w:p w14:paraId="16B968BC" w14:textId="77777777" w:rsidR="00DF1DFF" w:rsidRPr="00DF1DFF" w:rsidRDefault="00DF1DFF" w:rsidP="00DF1DFF">
      <w:pPr>
        <w:pBdr>
          <w:top w:val="nil"/>
          <w:left w:val="nil"/>
          <w:bottom w:val="nil"/>
          <w:right w:val="nil"/>
          <w:between w:val="nil"/>
        </w:pBdr>
        <w:shd w:val="clear" w:color="auto" w:fill="FFFFFF"/>
        <w:jc w:val="both"/>
        <w:rPr>
          <w:color w:val="000000"/>
        </w:rPr>
      </w:pPr>
    </w:p>
    <w:p w14:paraId="5FB11CB7" w14:textId="7AEF4338" w:rsidR="00822C70" w:rsidRPr="00D70452" w:rsidRDefault="00D70452" w:rsidP="002264EE">
      <w:pPr>
        <w:pBdr>
          <w:top w:val="nil"/>
          <w:left w:val="nil"/>
          <w:bottom w:val="nil"/>
          <w:right w:val="nil"/>
          <w:between w:val="nil"/>
        </w:pBdr>
        <w:shd w:val="clear" w:color="auto" w:fill="FFFFFF"/>
        <w:ind w:firstLine="397"/>
        <w:jc w:val="both"/>
        <w:rPr>
          <w:color w:val="000000"/>
        </w:rPr>
      </w:pPr>
      <w:r>
        <w:rPr>
          <w:color w:val="000000"/>
        </w:rPr>
        <w:t xml:space="preserve">Как видно, </w:t>
      </w:r>
      <w:r w:rsidR="007809E7">
        <w:rPr>
          <w:color w:val="000000"/>
        </w:rPr>
        <w:t>наибольшую ГДС/ГИД селективн</w:t>
      </w:r>
      <w:r w:rsidR="00EF39A8">
        <w:rPr>
          <w:color w:val="000000"/>
        </w:rPr>
        <w:t>ый фактор</w:t>
      </w:r>
      <w:r w:rsidR="007809E7">
        <w:rPr>
          <w:color w:val="000000"/>
        </w:rPr>
        <w:t xml:space="preserve"> проявля</w:t>
      </w:r>
      <w:r w:rsidR="00EF39A8">
        <w:rPr>
          <w:color w:val="000000"/>
        </w:rPr>
        <w:t>ли</w:t>
      </w:r>
      <w:r w:rsidR="007809E7">
        <w:rPr>
          <w:color w:val="000000"/>
        </w:rPr>
        <w:t xml:space="preserve"> </w:t>
      </w:r>
      <w:proofErr w:type="spellStart"/>
      <w:r w:rsidR="007809E7">
        <w:rPr>
          <w:color w:val="000000"/>
          <w:lang w:val="en-US"/>
        </w:rPr>
        <w:t>SiO</w:t>
      </w:r>
      <w:proofErr w:type="spellEnd"/>
      <w:r w:rsidR="007809E7" w:rsidRPr="007809E7">
        <w:rPr>
          <w:color w:val="000000"/>
          <w:vertAlign w:val="subscript"/>
        </w:rPr>
        <w:t>2</w:t>
      </w:r>
      <w:r w:rsidR="007809E7" w:rsidRPr="007809E7">
        <w:rPr>
          <w:color w:val="000000"/>
        </w:rPr>
        <w:t>-</w:t>
      </w:r>
      <w:r w:rsidR="007809E7">
        <w:rPr>
          <w:color w:val="000000"/>
        </w:rPr>
        <w:t xml:space="preserve">системы. При этом </w:t>
      </w:r>
      <w:r>
        <w:rPr>
          <w:color w:val="000000"/>
        </w:rPr>
        <w:t xml:space="preserve">увеличение </w:t>
      </w:r>
      <w:r w:rsidR="007809E7">
        <w:rPr>
          <w:color w:val="000000"/>
        </w:rPr>
        <w:t xml:space="preserve">ГДС/ГИД </w:t>
      </w:r>
      <w:r>
        <w:rPr>
          <w:color w:val="000000"/>
        </w:rPr>
        <w:t xml:space="preserve">в присутствии оксида цинка для </w:t>
      </w:r>
      <w:r w:rsidRPr="00D70452">
        <w:rPr>
          <w:color w:val="000000"/>
        </w:rPr>
        <w:t>ZnO-SiO</w:t>
      </w:r>
      <w:r w:rsidRPr="00D70452">
        <w:rPr>
          <w:color w:val="000000"/>
          <w:vertAlign w:val="subscript"/>
        </w:rPr>
        <w:t>2</w:t>
      </w:r>
      <w:r>
        <w:rPr>
          <w:color w:val="000000"/>
        </w:rPr>
        <w:t xml:space="preserve"> систем не объясняется изменением дисперсности</w:t>
      </w:r>
      <w:r w:rsidR="008D1793">
        <w:rPr>
          <w:color w:val="000000"/>
        </w:rPr>
        <w:t xml:space="preserve"> частиц</w:t>
      </w:r>
      <w:r>
        <w:rPr>
          <w:color w:val="000000"/>
        </w:rPr>
        <w:t xml:space="preserve"> активной фазы по сравнению с</w:t>
      </w:r>
      <w:r w:rsidR="00EF39A8">
        <w:rPr>
          <w:color w:val="000000"/>
        </w:rPr>
        <w:t xml:space="preserve"> образцами на основе</w:t>
      </w:r>
      <w:r>
        <w:rPr>
          <w:color w:val="000000"/>
        </w:rPr>
        <w:t xml:space="preserve"> </w:t>
      </w:r>
      <w:r>
        <w:rPr>
          <w:color w:val="000000"/>
          <w:lang w:val="en-US"/>
        </w:rPr>
        <w:t>Al</w:t>
      </w:r>
      <w:r w:rsidRPr="00C16A16">
        <w:rPr>
          <w:color w:val="000000"/>
          <w:vertAlign w:val="subscript"/>
        </w:rPr>
        <w:t>2</w:t>
      </w:r>
      <w:r>
        <w:rPr>
          <w:color w:val="000000"/>
          <w:lang w:val="en-US"/>
        </w:rPr>
        <w:t>O</w:t>
      </w:r>
      <w:r w:rsidRPr="00C16A16">
        <w:rPr>
          <w:color w:val="000000"/>
          <w:vertAlign w:val="subscript"/>
        </w:rPr>
        <w:t>3</w:t>
      </w:r>
      <w:r>
        <w:rPr>
          <w:color w:val="000000"/>
        </w:rPr>
        <w:t xml:space="preserve">. С помощью ТПВ и </w:t>
      </w:r>
      <w:r w:rsidR="00822C70">
        <w:rPr>
          <w:color w:val="000000"/>
        </w:rPr>
        <w:t>РФ</w:t>
      </w:r>
      <w:r w:rsidR="008D1793">
        <w:rPr>
          <w:color w:val="000000"/>
        </w:rPr>
        <w:t>Э</w:t>
      </w:r>
      <w:r w:rsidR="00822C70">
        <w:rPr>
          <w:color w:val="000000"/>
        </w:rPr>
        <w:t>С</w:t>
      </w:r>
      <w:r w:rsidRPr="00D70452">
        <w:rPr>
          <w:color w:val="000000"/>
        </w:rPr>
        <w:t xml:space="preserve"> </w:t>
      </w:r>
      <w:r>
        <w:rPr>
          <w:color w:val="000000"/>
        </w:rPr>
        <w:t xml:space="preserve">установлено присутствие сильного взаимодействия между оксидом цинка и оксидом никеля (для </w:t>
      </w:r>
      <w:r>
        <w:rPr>
          <w:color w:val="000000"/>
          <w:lang w:val="en-US"/>
        </w:rPr>
        <w:t>ZnO</w:t>
      </w:r>
      <w:r w:rsidRPr="00C16A16">
        <w:rPr>
          <w:color w:val="000000"/>
        </w:rPr>
        <w:t>-</w:t>
      </w:r>
      <w:r>
        <w:rPr>
          <w:color w:val="000000"/>
          <w:lang w:val="en-US"/>
        </w:rPr>
        <w:t>SiO</w:t>
      </w:r>
      <w:r w:rsidRPr="00C16A16">
        <w:rPr>
          <w:color w:val="000000"/>
          <w:vertAlign w:val="subscript"/>
        </w:rPr>
        <w:t>2</w:t>
      </w:r>
      <w:r>
        <w:rPr>
          <w:color w:val="000000"/>
        </w:rPr>
        <w:t xml:space="preserve"> систем). Для </w:t>
      </w:r>
      <w:r>
        <w:rPr>
          <w:color w:val="000000"/>
          <w:lang w:val="en-US"/>
        </w:rPr>
        <w:t>ZnO</w:t>
      </w:r>
      <w:r w:rsidRPr="00D70452">
        <w:rPr>
          <w:color w:val="000000"/>
        </w:rPr>
        <w:t>-</w:t>
      </w:r>
      <w:r>
        <w:rPr>
          <w:color w:val="000000"/>
          <w:lang w:val="en-US"/>
        </w:rPr>
        <w:t>Al</w:t>
      </w:r>
      <w:r w:rsidRPr="00C16A16">
        <w:rPr>
          <w:color w:val="000000"/>
          <w:vertAlign w:val="subscript"/>
        </w:rPr>
        <w:t>2</w:t>
      </w:r>
      <w:r>
        <w:rPr>
          <w:color w:val="000000"/>
          <w:lang w:val="en-US"/>
        </w:rPr>
        <w:t>O</w:t>
      </w:r>
      <w:r w:rsidRPr="00C16A16">
        <w:rPr>
          <w:color w:val="000000"/>
          <w:vertAlign w:val="subscript"/>
        </w:rPr>
        <w:t>3</w:t>
      </w:r>
      <w:r w:rsidR="00F704C2">
        <w:rPr>
          <w:color w:val="000000"/>
        </w:rPr>
        <w:t xml:space="preserve"> </w:t>
      </w:r>
      <w:r w:rsidR="00822C70">
        <w:rPr>
          <w:color w:val="000000"/>
        </w:rPr>
        <w:t>д</w:t>
      </w:r>
      <w:r w:rsidR="00F704C2">
        <w:rPr>
          <w:color w:val="000000"/>
        </w:rPr>
        <w:t>анный эффект не наблюдается</w:t>
      </w:r>
      <w:r w:rsidR="00EF39A8">
        <w:rPr>
          <w:color w:val="000000"/>
        </w:rPr>
        <w:t>, видимо</w:t>
      </w:r>
      <w:r w:rsidR="00F704C2">
        <w:rPr>
          <w:color w:val="000000"/>
        </w:rPr>
        <w:t xml:space="preserve"> </w:t>
      </w:r>
      <w:r w:rsidR="00822C70">
        <w:rPr>
          <w:color w:val="000000"/>
        </w:rPr>
        <w:t>за счет</w:t>
      </w:r>
      <w:r w:rsidR="00F704C2">
        <w:rPr>
          <w:color w:val="000000"/>
        </w:rPr>
        <w:t xml:space="preserve"> </w:t>
      </w:r>
      <w:r w:rsidR="00822C70">
        <w:rPr>
          <w:color w:val="000000"/>
        </w:rPr>
        <w:t xml:space="preserve">связывания оксида цинка с оксидом алюминия с образованием смешанных </w:t>
      </w:r>
      <w:r w:rsidR="00EF39A8">
        <w:rPr>
          <w:color w:val="000000"/>
        </w:rPr>
        <w:t>шпинелей</w:t>
      </w:r>
      <w:r w:rsidR="00822C70">
        <w:rPr>
          <w:color w:val="000000"/>
        </w:rPr>
        <w:t>. Исходя из этого, влияние взаимодействия между активной фазой и носителем является одним из основных факторов, определяющих ГДС-ГИД селективность сорбентов процесса реактивной адсорбции сернистых соединений.</w:t>
      </w:r>
    </w:p>
    <w:p w14:paraId="022FC08C" w14:textId="598CA483" w:rsidR="00A02163" w:rsidRPr="00A02163" w:rsidRDefault="00822C70" w:rsidP="00A02163">
      <w:pPr>
        <w:pBdr>
          <w:top w:val="nil"/>
          <w:left w:val="nil"/>
          <w:bottom w:val="nil"/>
          <w:right w:val="nil"/>
          <w:between w:val="nil"/>
        </w:pBdr>
        <w:shd w:val="clear" w:color="auto" w:fill="FFFFFF"/>
        <w:ind w:firstLine="397"/>
        <w:jc w:val="both"/>
        <w:rPr>
          <w:i/>
          <w:iCs/>
          <w:color w:val="000000"/>
        </w:rPr>
      </w:pPr>
      <w:r w:rsidRPr="00822C70">
        <w:rPr>
          <w:i/>
          <w:iCs/>
          <w:color w:val="000000"/>
        </w:rPr>
        <w:t>Благодарности: Исследование выполнено при финансовой поддержке РФФИ и ННФИ в рамках научного проекта № 20-58-56019</w:t>
      </w:r>
    </w:p>
    <w:sectPr w:rsidR="00A02163" w:rsidRPr="00A0216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3748B"/>
    <w:rsid w:val="00063966"/>
    <w:rsid w:val="0008106C"/>
    <w:rsid w:val="00086081"/>
    <w:rsid w:val="00101A1C"/>
    <w:rsid w:val="00106375"/>
    <w:rsid w:val="00116478"/>
    <w:rsid w:val="00130241"/>
    <w:rsid w:val="001735CA"/>
    <w:rsid w:val="001A576C"/>
    <w:rsid w:val="001E61C2"/>
    <w:rsid w:val="001F0493"/>
    <w:rsid w:val="00225C01"/>
    <w:rsid w:val="002264EE"/>
    <w:rsid w:val="0023307C"/>
    <w:rsid w:val="0028118E"/>
    <w:rsid w:val="0031361E"/>
    <w:rsid w:val="00375AFF"/>
    <w:rsid w:val="00391C38"/>
    <w:rsid w:val="003B76D6"/>
    <w:rsid w:val="003E61ED"/>
    <w:rsid w:val="004A26A3"/>
    <w:rsid w:val="004F0EDF"/>
    <w:rsid w:val="00522BF1"/>
    <w:rsid w:val="00590166"/>
    <w:rsid w:val="005D0509"/>
    <w:rsid w:val="005F5D72"/>
    <w:rsid w:val="00663E64"/>
    <w:rsid w:val="00664C6F"/>
    <w:rsid w:val="006F7A19"/>
    <w:rsid w:val="00775389"/>
    <w:rsid w:val="007809E7"/>
    <w:rsid w:val="00797838"/>
    <w:rsid w:val="007C36D8"/>
    <w:rsid w:val="007D65BB"/>
    <w:rsid w:val="007F2744"/>
    <w:rsid w:val="00822C70"/>
    <w:rsid w:val="008931BE"/>
    <w:rsid w:val="008D1793"/>
    <w:rsid w:val="00921D45"/>
    <w:rsid w:val="0093095A"/>
    <w:rsid w:val="009A66DB"/>
    <w:rsid w:val="009B2F80"/>
    <w:rsid w:val="009B3300"/>
    <w:rsid w:val="009F3380"/>
    <w:rsid w:val="00A02163"/>
    <w:rsid w:val="00A314FE"/>
    <w:rsid w:val="00A34CB8"/>
    <w:rsid w:val="00B607E4"/>
    <w:rsid w:val="00B66ED2"/>
    <w:rsid w:val="00BE62F8"/>
    <w:rsid w:val="00BF36F8"/>
    <w:rsid w:val="00BF4622"/>
    <w:rsid w:val="00C16A16"/>
    <w:rsid w:val="00CD00B1"/>
    <w:rsid w:val="00CE74B8"/>
    <w:rsid w:val="00D22306"/>
    <w:rsid w:val="00D42542"/>
    <w:rsid w:val="00D70452"/>
    <w:rsid w:val="00D8121C"/>
    <w:rsid w:val="00D86874"/>
    <w:rsid w:val="00DF1DFF"/>
    <w:rsid w:val="00E05A26"/>
    <w:rsid w:val="00E22189"/>
    <w:rsid w:val="00E74069"/>
    <w:rsid w:val="00EB1F49"/>
    <w:rsid w:val="00EB63EB"/>
    <w:rsid w:val="00EF39A8"/>
    <w:rsid w:val="00F704C2"/>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table" w:styleId="aa">
    <w:name w:val="Table Grid"/>
    <w:basedOn w:val="a1"/>
    <w:uiPriority w:val="39"/>
    <w:rsid w:val="00DF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106C"/>
    <w:rPr>
      <w:rFonts w:ascii="Segoe UI" w:hAnsi="Segoe UI" w:cs="Segoe UI"/>
      <w:sz w:val="18"/>
      <w:szCs w:val="18"/>
    </w:rPr>
  </w:style>
  <w:style w:type="character" w:customStyle="1" w:styleId="ac">
    <w:name w:val="Текст выноски Знак"/>
    <w:basedOn w:val="a0"/>
    <w:link w:val="ab"/>
    <w:uiPriority w:val="99"/>
    <w:semiHidden/>
    <w:rsid w:val="000810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576F9-2B5B-42FB-986D-CA9DB3E8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484</Words>
  <Characters>2763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Ботин</dc:creator>
  <cp:lastModifiedBy>Андрей Ботин</cp:lastModifiedBy>
  <cp:revision>5</cp:revision>
  <dcterms:created xsi:type="dcterms:W3CDTF">2023-02-16T06:40:00Z</dcterms:created>
  <dcterms:modified xsi:type="dcterms:W3CDTF">2023-02-16T08:46:00Z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