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764C" w14:textId="4445476E" w:rsidR="00675D24" w:rsidRPr="00675D24" w:rsidRDefault="00675D24" w:rsidP="0067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75D24">
        <w:rPr>
          <w:b/>
          <w:color w:val="000000"/>
        </w:rPr>
        <w:t xml:space="preserve">Влияние </w:t>
      </w:r>
      <w:proofErr w:type="spellStart"/>
      <w:r w:rsidRPr="00675D24">
        <w:rPr>
          <w:b/>
          <w:color w:val="000000"/>
        </w:rPr>
        <w:t>тозилата</w:t>
      </w:r>
      <w:proofErr w:type="spellEnd"/>
      <w:r w:rsidRPr="00675D24">
        <w:rPr>
          <w:b/>
          <w:color w:val="000000"/>
        </w:rPr>
        <w:t xml:space="preserve"> натрия на процесс окисления этилена в </w:t>
      </w:r>
      <w:proofErr w:type="spellStart"/>
      <w:r w:rsidRPr="00675D24">
        <w:rPr>
          <w:b/>
          <w:color w:val="000000"/>
        </w:rPr>
        <w:t>присутсви</w:t>
      </w:r>
      <w:r w:rsidR="006F2207">
        <w:rPr>
          <w:b/>
          <w:color w:val="000000"/>
        </w:rPr>
        <w:t>и</w:t>
      </w:r>
      <w:proofErr w:type="spellEnd"/>
      <w:r w:rsidR="006F2207">
        <w:rPr>
          <w:b/>
          <w:color w:val="000000"/>
        </w:rPr>
        <w:t xml:space="preserve"> комплексов палладия в среде ионной жидкости </w:t>
      </w:r>
      <w:r w:rsidRPr="00675D24">
        <w:rPr>
          <w:b/>
          <w:color w:val="000000"/>
        </w:rPr>
        <w:t>н-</w:t>
      </w:r>
      <w:proofErr w:type="spellStart"/>
      <w:r w:rsidRPr="00675D24">
        <w:rPr>
          <w:b/>
          <w:color w:val="000000"/>
        </w:rPr>
        <w:t>метилпирролидон</w:t>
      </w:r>
      <w:proofErr w:type="spellEnd"/>
      <w:r w:rsidRPr="00675D24">
        <w:rPr>
          <w:b/>
          <w:color w:val="000000"/>
        </w:rPr>
        <w:t>-</w:t>
      </w:r>
      <m:oMath>
        <m:r>
          <m:rPr>
            <m:sty m:val="bi"/>
          </m:rPr>
          <w:rPr>
            <w:rFonts w:ascii="Cambria Math" w:hAnsi="Cambria Math"/>
            <w:color w:val="000000"/>
          </w:rPr>
          <m:t>HCl</m:t>
        </m:r>
        <m:sSub>
          <m:sSubPr>
            <m:ctrlPr>
              <w:rPr>
                <w:rFonts w:ascii="Cambria Math" w:hAnsi="Cambria Math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4</m:t>
            </m:r>
          </m:sub>
        </m:sSub>
      </m:oMath>
    </w:p>
    <w:p w14:paraId="00000002" w14:textId="4421CF55" w:rsidR="00130241" w:rsidRDefault="00107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Тихонова А. А, </w:t>
      </w:r>
      <w:proofErr w:type="spellStart"/>
      <w:r>
        <w:rPr>
          <w:b/>
          <w:i/>
          <w:color w:val="000000"/>
        </w:rPr>
        <w:t>Руснак</w:t>
      </w:r>
      <w:proofErr w:type="spellEnd"/>
      <w:r>
        <w:rPr>
          <w:b/>
          <w:i/>
          <w:color w:val="000000"/>
        </w:rPr>
        <w:t xml:space="preserve"> И.Н., Иванов В. Р.</w:t>
      </w:r>
      <w:bookmarkStart w:id="0" w:name="_GoBack"/>
      <w:bookmarkEnd w:id="0"/>
    </w:p>
    <w:p w14:paraId="00000003" w14:textId="3B6FAAA8" w:rsidR="00130241" w:rsidRDefault="0067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D383D8F" w14:textId="77777777" w:rsidR="00675D24" w:rsidRPr="00675D24" w:rsidRDefault="00675D24" w:rsidP="0067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5D24">
        <w:rPr>
          <w:i/>
          <w:color w:val="000000"/>
        </w:rPr>
        <w:t xml:space="preserve">МИРЭА – Российский технологический университет, </w:t>
      </w:r>
    </w:p>
    <w:p w14:paraId="727CF38A" w14:textId="77777777" w:rsidR="00675D24" w:rsidRPr="00344765" w:rsidRDefault="00675D24" w:rsidP="0067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75D24">
        <w:rPr>
          <w:i/>
          <w:color w:val="000000"/>
        </w:rPr>
        <w:t>Институт тонких химических технологий имени М.В. Ломоносова, Москва, Россия</w:t>
      </w:r>
    </w:p>
    <w:p w14:paraId="00000008" w14:textId="3E97F316" w:rsidR="00130241" w:rsidRPr="006C230E" w:rsidRDefault="00EB1F49" w:rsidP="00675D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75D24">
        <w:rPr>
          <w:i/>
          <w:color w:val="000000"/>
          <w:lang w:val="en-US"/>
        </w:rPr>
        <w:t>E</w:t>
      </w:r>
      <w:r w:rsidR="003B76D6" w:rsidRPr="006C230E">
        <w:rPr>
          <w:i/>
          <w:color w:val="000000"/>
          <w:lang w:val="en-US"/>
        </w:rPr>
        <w:t>-</w:t>
      </w:r>
      <w:r w:rsidRPr="00675D24">
        <w:rPr>
          <w:i/>
          <w:color w:val="000000"/>
          <w:lang w:val="en-US"/>
        </w:rPr>
        <w:t>mail</w:t>
      </w:r>
      <w:r w:rsidRPr="006C230E">
        <w:rPr>
          <w:i/>
          <w:color w:val="000000"/>
          <w:lang w:val="en-US"/>
        </w:rPr>
        <w:t xml:space="preserve">: </w:t>
      </w:r>
      <w:r w:rsidR="00675D24" w:rsidRPr="00675D24">
        <w:rPr>
          <w:i/>
          <w:color w:val="000000"/>
          <w:u w:val="single"/>
          <w:lang w:val="en-US"/>
        </w:rPr>
        <w:t>annochka</w:t>
      </w:r>
      <w:r w:rsidR="00675D24" w:rsidRPr="006C230E">
        <w:rPr>
          <w:i/>
          <w:color w:val="000000"/>
          <w:u w:val="single"/>
          <w:lang w:val="en-US"/>
        </w:rPr>
        <w:t>-</w:t>
      </w:r>
      <w:r w:rsidR="00675D24" w:rsidRPr="00675D24">
        <w:rPr>
          <w:i/>
          <w:color w:val="000000"/>
          <w:u w:val="single"/>
          <w:lang w:val="en-US"/>
        </w:rPr>
        <w:t>tikhonova</w:t>
      </w:r>
      <w:r w:rsidR="00675D24" w:rsidRPr="006C230E">
        <w:rPr>
          <w:i/>
          <w:color w:val="000000"/>
          <w:u w:val="single"/>
          <w:lang w:val="en-US"/>
        </w:rPr>
        <w:t>@</w:t>
      </w:r>
      <w:r w:rsidR="00675D24" w:rsidRPr="00675D24">
        <w:rPr>
          <w:i/>
          <w:color w:val="000000"/>
          <w:u w:val="single"/>
          <w:lang w:val="en-US"/>
        </w:rPr>
        <w:t>list</w:t>
      </w:r>
      <w:r w:rsidR="00675D24" w:rsidRPr="006C230E">
        <w:rPr>
          <w:i/>
          <w:color w:val="000000"/>
          <w:u w:val="single"/>
          <w:lang w:val="en-US"/>
        </w:rPr>
        <w:t>.</w:t>
      </w:r>
      <w:r w:rsidR="00675D24" w:rsidRPr="00675D24">
        <w:rPr>
          <w:i/>
          <w:color w:val="000000"/>
          <w:u w:val="single"/>
          <w:lang w:val="en-US"/>
        </w:rPr>
        <w:t>ru</w:t>
      </w:r>
      <w:r w:rsidR="00675D24" w:rsidRPr="006C230E">
        <w:rPr>
          <w:i/>
          <w:color w:val="000000"/>
          <w:u w:val="single"/>
          <w:lang w:val="en-US"/>
        </w:rPr>
        <w:t xml:space="preserve"> </w:t>
      </w:r>
    </w:p>
    <w:p w14:paraId="6E350436" w14:textId="0023D330" w:rsidR="006F2207" w:rsidRDefault="006F2207" w:rsidP="006F2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Синтез капролактама занимает важное место в промышленном получении полимерных материалов (в том числе капрона). В этом многостадийном процессе особое внимание уделяется синтезу промежуточного продукта, а именно, циклогексанона, который в свою очередь можно получить из циклогексена. Последняя стадия окисления олефина до карбонильного соединения подробно рассматривается в данной работе. Такое превращение известно как Вакер-процесс: окисление алкена (этилена) в водной среде с ипользованием гомогенной каталитической системы на основе катионного комплекса палладия, в качестве окислителя используется 1,4-бензохинон (</w:t>
      </w:r>
      <w:r>
        <w:rPr>
          <w:noProof/>
          <w:lang w:val="en-US"/>
        </w:rPr>
        <w:t>Q</w:t>
      </w:r>
      <w:r>
        <w:rPr>
          <w:noProof/>
        </w:rPr>
        <w:t xml:space="preserve">), который зарекомендовал себя ещё как эффективный восстановитель палладия. Однако в случае применения механизма Вакер-процесса к каталитическому окислению цеклогексена стоит учитывать тот факт, что высшие олефины нерастворимы в воде и необходимо использовать водно-органичсекие системы. В данной работе рассматривается процесс окисления в среде </w:t>
      </w:r>
      <m:oMath>
        <m:r>
          <w:rPr>
            <w:rFonts w:ascii="Cambria Math" w:hAnsi="Cambria Math"/>
            <w:noProof/>
            <w:lang w:val="en-US"/>
          </w:rPr>
          <m:t>Pd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(OAc)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>
        <w:rPr>
          <w:noProof/>
        </w:rPr>
        <w:t>–</w:t>
      </w:r>
      <w:r>
        <w:rPr>
          <w:noProof/>
          <w:lang w:val="en-US"/>
        </w:rPr>
        <w:t>NMP</w:t>
      </w:r>
      <w:r w:rsidRPr="000B3E8C">
        <w:rPr>
          <w:noProof/>
        </w:rPr>
        <w:t>–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H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O</m:t>
        </m:r>
      </m:oMath>
      <w:r w:rsidR="00A32E8B">
        <w:rPr>
          <w:noProof/>
        </w:rPr>
        <w:t>–</w:t>
      </w:r>
      <m:oMath>
        <m:r>
          <w:rPr>
            <w:rFonts w:ascii="Cambria Math" w:hAnsi="Cambria Math"/>
            <w:noProof/>
          </w:rPr>
          <m:t>HCl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O</m:t>
            </m:r>
          </m:e>
          <m:sub>
            <m:r>
              <w:rPr>
                <w:rFonts w:ascii="Cambria Math" w:hAnsi="Cambria Math"/>
                <w:noProof/>
              </w:rPr>
              <m:t>4</m:t>
            </m:r>
          </m:sub>
        </m:sSub>
      </m:oMath>
      <w:r w:rsidR="005A3867">
        <w:rPr>
          <w:noProof/>
        </w:rPr>
        <w:t xml:space="preserve">. </w:t>
      </w:r>
      <w:r>
        <w:rPr>
          <w:noProof/>
        </w:rPr>
        <w:t>Стоит отметить, что н-метилпирролидон (</w:t>
      </w:r>
      <w:r>
        <w:rPr>
          <w:noProof/>
          <w:lang w:val="en-US"/>
        </w:rPr>
        <w:t>NMP</w:t>
      </w:r>
      <w:r w:rsidRPr="006F2207">
        <w:rPr>
          <w:noProof/>
        </w:rPr>
        <w:t>)</w:t>
      </w:r>
      <w:r>
        <w:rPr>
          <w:noProof/>
        </w:rPr>
        <w:t xml:space="preserve"> образует с хлорной кисотой ионную жидкость (</w:t>
      </w:r>
      <w:r>
        <w:rPr>
          <w:noProof/>
          <w:lang w:val="en-US"/>
        </w:rPr>
        <w:t>IL</w:t>
      </w:r>
      <w:r w:rsidRPr="00344765">
        <w:rPr>
          <w:noProof/>
        </w:rPr>
        <w:t>)</w:t>
      </w:r>
      <w:r>
        <w:rPr>
          <w:noProof/>
        </w:rPr>
        <w:t xml:space="preserve">. В последнее время </w:t>
      </w:r>
      <w:r>
        <w:rPr>
          <w:noProof/>
          <w:lang w:val="en-US"/>
        </w:rPr>
        <w:t>ILs</w:t>
      </w:r>
      <w:r w:rsidRPr="00344765">
        <w:rPr>
          <w:noProof/>
        </w:rPr>
        <w:t xml:space="preserve"> </w:t>
      </w:r>
      <w:r>
        <w:rPr>
          <w:noProof/>
        </w:rPr>
        <w:t xml:space="preserve">широко используются в каталитических системах в качестве растворителей, благодаря относительно низкой вязкости, нелетучему характеру, низкому давлению паров, химической и термической устойчивости, а также  </w:t>
      </w:r>
      <w:r w:rsidR="001A39C2">
        <w:rPr>
          <w:noProof/>
        </w:rPr>
        <w:t>способности дополнительно катализировать реакцию</w:t>
      </w:r>
      <w:r w:rsidR="00D74532" w:rsidRPr="00D74532">
        <w:rPr>
          <w:noProof/>
        </w:rPr>
        <w:t xml:space="preserve"> </w:t>
      </w:r>
      <w:r w:rsidRPr="005D05A7">
        <w:rPr>
          <w:noProof/>
        </w:rPr>
        <w:t>[1]</w:t>
      </w:r>
      <w:r>
        <w:rPr>
          <w:noProof/>
        </w:rPr>
        <w:t xml:space="preserve">. </w:t>
      </w:r>
    </w:p>
    <w:p w14:paraId="7E5180D1" w14:textId="7D40D8C1" w:rsidR="004F67BF" w:rsidRDefault="00A07A81" w:rsidP="008E7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>В нашей системе (</w:t>
      </w:r>
      <w:r w:rsidR="00A32E8B">
        <w:rPr>
          <w:noProof/>
        </w:rPr>
        <w:t xml:space="preserve">61,5% мол. </w:t>
      </w:r>
      <m:oMath>
        <m:r>
          <w:rPr>
            <w:rFonts w:ascii="Cambria Math" w:hAnsi="Cambria Math"/>
            <w:noProof/>
          </w:rPr>
          <m:t>HCl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O</m:t>
            </m:r>
          </m:e>
          <m:sub>
            <m:r>
              <w:rPr>
                <w:rFonts w:ascii="Cambria Math" w:hAnsi="Cambria Math"/>
                <w:noProof/>
              </w:rPr>
              <m:t>4</m:t>
            </m:r>
          </m:sub>
        </m:sSub>
      </m:oMath>
      <w:r w:rsidR="00A32E8B" w:rsidRPr="00A32E8B">
        <w:rPr>
          <w:noProof/>
        </w:rPr>
        <w:t>)</w:t>
      </w:r>
      <w:r w:rsidR="00A32E8B">
        <w:rPr>
          <w:noProof/>
        </w:rPr>
        <w:t xml:space="preserve"> </w:t>
      </w:r>
      <w:r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[HNMP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]</m:t>
            </m:r>
          </m:e>
          <m:sup>
            <m:r>
              <w:rPr>
                <w:rFonts w:ascii="Cambria Math" w:hAnsi="Cambria Math"/>
                <w:noProof/>
              </w:rPr>
              <m:t>+</m:t>
            </m:r>
          </m:sup>
        </m:sSup>
        <m:r>
          <w:rPr>
            <w:rFonts w:ascii="Cambria Math" w:hAnsi="Cambria Math"/>
            <w:noProof/>
          </w:rPr>
          <m:t>[Cl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O</m:t>
            </m:r>
          </m:e>
          <m:sub>
            <m:r>
              <w:rPr>
                <w:rFonts w:ascii="Cambria Math" w:hAnsi="Cambria Math"/>
                <w:noProof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]</m:t>
            </m:r>
          </m:e>
          <m:sup>
            <m:r>
              <w:rPr>
                <w:rFonts w:ascii="Cambria Math" w:hAnsi="Cambria Math"/>
                <w:noProof/>
              </w:rPr>
              <m:t>-</m:t>
            </m:r>
          </m:sup>
        </m:sSup>
      </m:oMath>
      <w:r>
        <w:rPr>
          <w:noProof/>
        </w:rPr>
        <w:t xml:space="preserve"> предположительно образуется ионная пара, сольватированная кислотой </w:t>
      </w:r>
      <w:r w:rsidR="004D5A91">
        <w:rPr>
          <w:noProof/>
        </w:rPr>
        <w:t>и молекулами воды</w:t>
      </w:r>
      <w:r w:rsidR="00D74532" w:rsidRPr="00D74532">
        <w:rPr>
          <w:noProof/>
        </w:rPr>
        <w:t xml:space="preserve"> </w:t>
      </w:r>
      <w:r w:rsidR="004D5A91" w:rsidRPr="003646F5">
        <w:rPr>
          <w:noProof/>
        </w:rPr>
        <w:t>[2]</w:t>
      </w:r>
      <w:r w:rsidR="004D5A91">
        <w:rPr>
          <w:noProof/>
        </w:rPr>
        <w:t>.</w:t>
      </w:r>
      <w:r w:rsidR="003646F5" w:rsidRPr="003646F5">
        <w:rPr>
          <w:noProof/>
        </w:rPr>
        <w:t xml:space="preserve"> </w:t>
      </w:r>
      <w:r w:rsidR="003646F5">
        <w:rPr>
          <w:noProof/>
        </w:rPr>
        <w:t>Влияние образования ассоциатов</w:t>
      </w:r>
      <w:r w:rsidR="00795CE2">
        <w:rPr>
          <w:noProof/>
        </w:rPr>
        <w:t xml:space="preserve"> и комплексов</w:t>
      </w:r>
      <w:r w:rsidR="003646F5">
        <w:rPr>
          <w:noProof/>
        </w:rPr>
        <w:t xml:space="preserve"> в контактном растворе на процесс окисления </w:t>
      </w:r>
      <w:r w:rsidR="00795CE2">
        <w:rPr>
          <w:noProof/>
        </w:rPr>
        <w:t>этилена рассматривалось с добав</w:t>
      </w:r>
      <w:r w:rsidR="00D74532">
        <w:rPr>
          <w:noProof/>
        </w:rPr>
        <w:t>ле</w:t>
      </w:r>
      <w:r w:rsidR="008E7B89">
        <w:rPr>
          <w:noProof/>
        </w:rPr>
        <w:t>нием тозилата натрия (Рис. 1).</w:t>
      </w:r>
    </w:p>
    <w:p w14:paraId="76687E66" w14:textId="432D4328" w:rsidR="004F67BF" w:rsidRDefault="008E7B89" w:rsidP="008E7B89">
      <w:pPr>
        <w:ind w:firstLine="397"/>
        <w:jc w:val="center"/>
        <w:rPr>
          <w:noProof/>
        </w:rPr>
      </w:pPr>
      <w:r>
        <w:rPr>
          <w:noProof/>
        </w:rPr>
        <w:drawing>
          <wp:inline distT="0" distB="0" distL="0" distR="0" wp14:anchorId="531FBA89" wp14:editId="01369698">
            <wp:extent cx="4133850" cy="2012315"/>
            <wp:effectExtent l="0" t="0" r="0" b="698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6B53456-D099-B8A4-5722-37808C653B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66786A" w14:textId="2CC22A7C" w:rsidR="009B2F80" w:rsidRPr="001631BA" w:rsidRDefault="009B2F80" w:rsidP="00FF1903">
      <w:pPr>
        <w:jc w:val="center"/>
        <w:rPr>
          <w:b/>
        </w:rPr>
      </w:pPr>
      <w:r w:rsidRPr="006834C5">
        <w:t xml:space="preserve">Рис. 1. </w:t>
      </w:r>
      <w:r w:rsidR="001631BA">
        <w:t xml:space="preserve">Зависимость скорости реакции от соотношения </w:t>
      </w:r>
      <w:proofErr w:type="spellStart"/>
      <w:r w:rsidR="001631BA">
        <w:t>тозилата</w:t>
      </w:r>
      <w:proofErr w:type="spellEnd"/>
      <w:r w:rsidR="001631BA">
        <w:t xml:space="preserve"> к палладию</w:t>
      </w:r>
    </w:p>
    <w:p w14:paraId="3E90222A" w14:textId="302E109B" w:rsidR="00FF1903" w:rsidRPr="008E7B89" w:rsidRDefault="00795CE2" w:rsidP="008E7B89">
      <w:r w:rsidRPr="00795CE2">
        <w:t xml:space="preserve">Экспериментальные данные указывают на </w:t>
      </w:r>
      <w:r>
        <w:t xml:space="preserve">явное влияние </w:t>
      </w:r>
      <w:proofErr w:type="spellStart"/>
      <w:r>
        <w:t>тозилат</w:t>
      </w:r>
      <w:proofErr w:type="spellEnd"/>
      <w:r>
        <w:t xml:space="preserve">-иона на процесс окисления, при этом пока не удалось однозначно определить природу этого влияния: </w:t>
      </w:r>
      <w:proofErr w:type="spellStart"/>
      <w:r>
        <w:t>тозилат</w:t>
      </w:r>
      <w:proofErr w:type="spellEnd"/>
      <w:r>
        <w:t xml:space="preserve">-анион может встраиваться в координационную сферу палладия или влиять на образование </w:t>
      </w:r>
      <w:r w:rsidR="004F67BF">
        <w:t>комплексов. Данный вопрос требует дополнительных исследований, которые планирует провести наша научная группа.</w:t>
      </w:r>
    </w:p>
    <w:p w14:paraId="0000000E" w14:textId="77777777" w:rsidR="00130241" w:rsidRPr="004D5A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6BA79F7" w14:textId="1E87D69F" w:rsidR="001A39C2" w:rsidRDefault="004D5A9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4D5A91">
        <w:rPr>
          <w:noProof/>
          <w:lang w:val="en-US"/>
        </w:rPr>
        <w:t xml:space="preserve">1. </w:t>
      </w:r>
      <w:r>
        <w:rPr>
          <w:noProof/>
          <w:lang w:val="en-US"/>
        </w:rPr>
        <w:t>W</w:t>
      </w:r>
      <w:r w:rsidRPr="004D5A91">
        <w:rPr>
          <w:noProof/>
          <w:lang w:val="en-US"/>
        </w:rPr>
        <w:t>.</w:t>
      </w:r>
      <w:r>
        <w:rPr>
          <w:noProof/>
          <w:lang w:val="en-US"/>
        </w:rPr>
        <w:t xml:space="preserve"> Wang, L</w:t>
      </w:r>
      <w:r w:rsidRPr="004D5A91">
        <w:rPr>
          <w:noProof/>
          <w:lang w:val="en-US"/>
        </w:rPr>
        <w:t>.</w:t>
      </w:r>
      <w:r>
        <w:rPr>
          <w:noProof/>
          <w:lang w:val="en-US"/>
        </w:rPr>
        <w:t xml:space="preserve"> Shao, W</w:t>
      </w:r>
      <w:r w:rsidRPr="004D5A91">
        <w:rPr>
          <w:noProof/>
          <w:lang w:val="en-US"/>
        </w:rPr>
        <w:t xml:space="preserve">. </w:t>
      </w:r>
      <w:r>
        <w:rPr>
          <w:noProof/>
          <w:lang w:val="en-US"/>
        </w:rPr>
        <w:t>Cheng, J</w:t>
      </w:r>
      <w:r w:rsidRPr="004D5A91">
        <w:rPr>
          <w:noProof/>
          <w:lang w:val="en-US"/>
        </w:rPr>
        <w:t>.</w:t>
      </w:r>
      <w:r>
        <w:rPr>
          <w:noProof/>
          <w:lang w:val="en-US"/>
        </w:rPr>
        <w:t xml:space="preserve"> Yang, M</w:t>
      </w:r>
      <w:r w:rsidRPr="004D5A91">
        <w:rPr>
          <w:noProof/>
          <w:lang w:val="en-US"/>
        </w:rPr>
        <w:t>. He</w:t>
      </w:r>
      <w:r w:rsidR="003646F5" w:rsidRPr="003646F5">
        <w:rPr>
          <w:noProof/>
          <w:lang w:val="en-US"/>
        </w:rPr>
        <w:t>. Brønsted acidic ionic liquids as novel catalysts for Prins reaction</w:t>
      </w:r>
      <w:r w:rsidR="003646F5">
        <w:rPr>
          <w:noProof/>
          <w:lang w:val="en-US"/>
        </w:rPr>
        <w:t xml:space="preserve"> // </w:t>
      </w:r>
      <w:r w:rsidR="003646F5" w:rsidRPr="003646F5">
        <w:rPr>
          <w:noProof/>
          <w:lang w:val="en-US"/>
        </w:rPr>
        <w:t xml:space="preserve">Catalysis Communications 9 (2008) </w:t>
      </w:r>
      <w:r w:rsidR="003646F5">
        <w:rPr>
          <w:noProof/>
          <w:lang w:val="en-US"/>
        </w:rPr>
        <w:t xml:space="preserve">P. </w:t>
      </w:r>
      <w:r w:rsidR="003646F5" w:rsidRPr="003646F5">
        <w:rPr>
          <w:noProof/>
          <w:lang w:val="en-US"/>
        </w:rPr>
        <w:t>337–341</w:t>
      </w:r>
    </w:p>
    <w:p w14:paraId="5C41660E" w14:textId="5C982470" w:rsidR="003646F5" w:rsidRPr="003646F5" w:rsidRDefault="003646F5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3646F5">
        <w:rPr>
          <w:noProof/>
        </w:rPr>
        <w:t xml:space="preserve">2. </w:t>
      </w:r>
      <w:r>
        <w:rPr>
          <w:noProof/>
        </w:rPr>
        <w:t>В. Д. Майоров, И. С. Кислина</w:t>
      </w:r>
      <w:r w:rsidRPr="003646F5">
        <w:rPr>
          <w:noProof/>
        </w:rPr>
        <w:t xml:space="preserve">, Е. Г. Тараканова. </w:t>
      </w:r>
      <w:r w:rsidR="008E7B89">
        <w:rPr>
          <w:noProof/>
        </w:rPr>
        <w:t xml:space="preserve">Строение комплексов в системе </w:t>
      </w:r>
      <w:r w:rsidR="008E7B89">
        <w:rPr>
          <w:noProof/>
          <w:lang w:val="en-US"/>
        </w:rPr>
        <w:t>H</w:t>
      </w:r>
      <w:r w:rsidR="008E7B89" w:rsidRPr="008E7B89">
        <w:rPr>
          <w:noProof/>
          <w:vertAlign w:val="subscript"/>
        </w:rPr>
        <w:t>2</w:t>
      </w:r>
      <w:r w:rsidR="008E7B89">
        <w:rPr>
          <w:noProof/>
          <w:lang w:val="en-US"/>
        </w:rPr>
        <w:t>SO</w:t>
      </w:r>
      <w:r w:rsidR="008E7B89" w:rsidRPr="008E7B89">
        <w:rPr>
          <w:noProof/>
          <w:vertAlign w:val="subscript"/>
        </w:rPr>
        <w:t>4</w:t>
      </w:r>
      <w:r w:rsidR="008E7B89" w:rsidRPr="003646F5">
        <w:rPr>
          <w:noProof/>
        </w:rPr>
        <w:t xml:space="preserve"> − 2-пирролидон по данным ик-спектроскопии и квантовохимических расчетов // химическая физика</w:t>
      </w:r>
      <w:r w:rsidRPr="003646F5">
        <w:rPr>
          <w:noProof/>
        </w:rPr>
        <w:t>, 2017, том 36, № 1, с. 3–15</w:t>
      </w:r>
    </w:p>
    <w:sectPr w:rsidR="003646F5" w:rsidRPr="003646F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2DE8"/>
    <w:rsid w:val="00063966"/>
    <w:rsid w:val="00086081"/>
    <w:rsid w:val="000B3E8C"/>
    <w:rsid w:val="00101A1C"/>
    <w:rsid w:val="00106375"/>
    <w:rsid w:val="00107EBE"/>
    <w:rsid w:val="00116478"/>
    <w:rsid w:val="00130241"/>
    <w:rsid w:val="00136820"/>
    <w:rsid w:val="001631BA"/>
    <w:rsid w:val="001A39C2"/>
    <w:rsid w:val="001E61C2"/>
    <w:rsid w:val="001F0493"/>
    <w:rsid w:val="002264EE"/>
    <w:rsid w:val="0023307C"/>
    <w:rsid w:val="0031361E"/>
    <w:rsid w:val="00344765"/>
    <w:rsid w:val="003646F5"/>
    <w:rsid w:val="00391C38"/>
    <w:rsid w:val="003B76D6"/>
    <w:rsid w:val="004A26A3"/>
    <w:rsid w:val="004D5A91"/>
    <w:rsid w:val="004F0EDF"/>
    <w:rsid w:val="004F67BF"/>
    <w:rsid w:val="005107EB"/>
    <w:rsid w:val="00522BF1"/>
    <w:rsid w:val="00590166"/>
    <w:rsid w:val="005A3867"/>
    <w:rsid w:val="005D05A7"/>
    <w:rsid w:val="00675D24"/>
    <w:rsid w:val="006C230E"/>
    <w:rsid w:val="006F2207"/>
    <w:rsid w:val="006F7A19"/>
    <w:rsid w:val="00775389"/>
    <w:rsid w:val="00795CE2"/>
    <w:rsid w:val="00797838"/>
    <w:rsid w:val="007C36D8"/>
    <w:rsid w:val="007F2744"/>
    <w:rsid w:val="0088120E"/>
    <w:rsid w:val="008931BE"/>
    <w:rsid w:val="008A13C5"/>
    <w:rsid w:val="008E7B89"/>
    <w:rsid w:val="00921D45"/>
    <w:rsid w:val="009A66DB"/>
    <w:rsid w:val="009B2F80"/>
    <w:rsid w:val="009B3300"/>
    <w:rsid w:val="009F3380"/>
    <w:rsid w:val="00A02163"/>
    <w:rsid w:val="00A07A81"/>
    <w:rsid w:val="00A314FE"/>
    <w:rsid w:val="00A32E8B"/>
    <w:rsid w:val="00BF36F8"/>
    <w:rsid w:val="00BF4622"/>
    <w:rsid w:val="00CD00B1"/>
    <w:rsid w:val="00D22306"/>
    <w:rsid w:val="00D42542"/>
    <w:rsid w:val="00D74532"/>
    <w:rsid w:val="00D8121C"/>
    <w:rsid w:val="00D8770A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2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368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68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2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368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68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7;&#1090;&#1091;&#1076;&#1077;&#1085;&#1090;\Desktop\Zavisimost_skorosti_okislenia_etilena_ot_kontsentratsii_tozilata_natria_03_11_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01976109336113E-2"/>
          <c:y val="4.781312327624547E-2"/>
          <c:w val="0.88514649782990162"/>
          <c:h val="0.81144535202075374"/>
        </c:manualLayout>
      </c:layout>
      <c:scatterChart>
        <c:scatterStyle val="lineMarker"/>
        <c:varyColors val="0"/>
        <c:ser>
          <c:idx val="1"/>
          <c:order val="0"/>
          <c:tx>
            <c:v>Новая мешалка+старая пария тозила натрия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power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2"/>
                </a:solidFill>
                <a:prstDash val="solid"/>
              </a:ln>
              <a:effectLst/>
            </c:spPr>
            <c:trendlineType val="poly"/>
            <c:order val="6"/>
            <c:dispRSqr val="0"/>
            <c:dispEq val="0"/>
          </c:trendline>
          <c:xVal>
            <c:numRef>
              <c:f>[Zavisimost_skorosti_okislenia_etilena_ot_kontsentratsii_tozilata_natria_03_11_22.xlsx]Лист1!$AD$36:$AD$49</c:f>
              <c:numCache>
                <c:formatCode>General</c:formatCode>
                <c:ptCount val="14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1.5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7</c:v>
                </c:pt>
                <c:pt idx="11">
                  <c:v>9</c:v>
                </c:pt>
                <c:pt idx="12">
                  <c:v>10</c:v>
                </c:pt>
                <c:pt idx="13">
                  <c:v>10</c:v>
                </c:pt>
              </c:numCache>
            </c:numRef>
          </c:xVal>
          <c:yVal>
            <c:numRef>
              <c:f>[Zavisimost_skorosti_okislenia_etilena_ot_kontsentratsii_tozilata_natria_03_11_22.xlsx]Лист1!$AE$36:$AE$49</c:f>
              <c:numCache>
                <c:formatCode>General</c:formatCode>
                <c:ptCount val="14"/>
                <c:pt idx="0">
                  <c:v>6.8</c:v>
                </c:pt>
                <c:pt idx="1">
                  <c:v>8.48</c:v>
                </c:pt>
                <c:pt idx="2">
                  <c:v>10.28</c:v>
                </c:pt>
                <c:pt idx="3">
                  <c:v>10.039999999999999</c:v>
                </c:pt>
                <c:pt idx="4">
                  <c:v>11.05</c:v>
                </c:pt>
                <c:pt idx="5">
                  <c:v>9.3800000000000008</c:v>
                </c:pt>
                <c:pt idx="6">
                  <c:v>9.48</c:v>
                </c:pt>
                <c:pt idx="7">
                  <c:v>7.86</c:v>
                </c:pt>
                <c:pt idx="8">
                  <c:v>7.08</c:v>
                </c:pt>
                <c:pt idx="9">
                  <c:v>7.09</c:v>
                </c:pt>
                <c:pt idx="10">
                  <c:v>6.35</c:v>
                </c:pt>
                <c:pt idx="11">
                  <c:v>6.14</c:v>
                </c:pt>
                <c:pt idx="12">
                  <c:v>5.24</c:v>
                </c:pt>
                <c:pt idx="13">
                  <c:v>4.6500000000000004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4B5-40FC-943C-885859F22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219008"/>
        <c:axId val="108233472"/>
      </c:scatterChart>
      <c:valAx>
        <c:axId val="108219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n</a:t>
                </a:r>
                <a:r>
                  <a:rPr lang="en-US" sz="1400" baseline="-25000"/>
                  <a:t>TosNa</a:t>
                </a:r>
                <a:r>
                  <a:rPr lang="en-US" sz="1400"/>
                  <a:t>/n</a:t>
                </a:r>
                <a:r>
                  <a:rPr lang="en-US" sz="1400" baseline="-25000"/>
                  <a:t>Pd</a:t>
                </a:r>
                <a:r>
                  <a:rPr lang="en-US" sz="1400" baseline="30000"/>
                  <a:t>2+</a:t>
                </a:r>
                <a:endParaRPr lang="ru-RU" sz="1400" baseline="30000"/>
              </a:p>
            </c:rich>
          </c:tx>
          <c:layout>
            <c:manualLayout>
              <c:xMode val="edge"/>
              <c:yMode val="edge"/>
              <c:x val="0.46041857817155563"/>
              <c:y val="0.9225549478070967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233472"/>
        <c:crosses val="autoZero"/>
        <c:crossBetween val="midCat"/>
      </c:valAx>
      <c:valAx>
        <c:axId val="108233472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effectLst/>
                  </a:rPr>
                  <a:t>R</a:t>
                </a:r>
                <a:r>
                  <a:rPr lang="en-US" sz="1200" b="0" i="0" baseline="-25000">
                    <a:effectLst/>
                  </a:rPr>
                  <a:t>I</a:t>
                </a:r>
                <a:r>
                  <a:rPr lang="en-US" sz="1200" b="0" i="0" baseline="0">
                    <a:effectLst/>
                  </a:rPr>
                  <a:t>,</a:t>
                </a:r>
                <a:r>
                  <a:rPr lang="ru-RU" sz="1200" b="0" i="0" baseline="0">
                    <a:effectLst/>
                  </a:rPr>
                  <a:t> ммоль*л</a:t>
                </a:r>
                <a:r>
                  <a:rPr lang="ru-RU" sz="1200" b="0" i="0" baseline="30000">
                    <a:effectLst/>
                  </a:rPr>
                  <a:t>-1</a:t>
                </a:r>
                <a:r>
                  <a:rPr lang="ru-RU" sz="1200" b="0" i="0" baseline="0">
                    <a:effectLst/>
                  </a:rPr>
                  <a:t>*мин</a:t>
                </a:r>
                <a:r>
                  <a:rPr lang="ru-RU" sz="1200" b="0" i="0" baseline="30000">
                    <a:effectLst/>
                  </a:rPr>
                  <a:t>-1</a:t>
                </a:r>
                <a:endParaRPr lang="ru-RU" sz="7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2190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CA4C2-4712-4F7A-8F18-9DF5436E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12</cp:revision>
  <dcterms:created xsi:type="dcterms:W3CDTF">2022-11-07T09:18:00Z</dcterms:created>
  <dcterms:modified xsi:type="dcterms:W3CDTF">2023-02-15T18:17:00Z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