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FC5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катализатора альдольной конденсации фурфурола и циклогексанона с целью получения востребованной нефтехимической продукции из биовозобновляемого сырья</w:t>
      </w:r>
    </w:p>
    <w:p w:rsidR="00FC5A80" w:rsidRDefault="00FC5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Точилин Н.В.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Виноградов Н.А.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Керенцева А.В.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Галеева Ю.Е.</w:t>
      </w:r>
      <w:r>
        <w:rPr>
          <w:b/>
          <w:i/>
          <w:color w:val="000000"/>
          <w:vertAlign w:val="superscript"/>
        </w:rPr>
        <w:t>1</w:t>
      </w:r>
    </w:p>
    <w:p w:rsidR="00130241" w:rsidRDefault="00FC5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:rsidR="00130241" w:rsidRPr="004B486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C5A80">
        <w:rPr>
          <w:i/>
          <w:color w:val="000000"/>
        </w:rPr>
        <w:t>Самарский</w:t>
      </w:r>
      <w:r>
        <w:rPr>
          <w:i/>
          <w:color w:val="000000"/>
        </w:rPr>
        <w:t xml:space="preserve"> государственный</w:t>
      </w:r>
      <w:r w:rsidR="00FC5A80">
        <w:rPr>
          <w:i/>
          <w:color w:val="000000"/>
        </w:rPr>
        <w:t xml:space="preserve"> технический</w:t>
      </w:r>
      <w:r>
        <w:rPr>
          <w:i/>
          <w:color w:val="000000"/>
        </w:rPr>
        <w:t xml:space="preserve"> университет, </w:t>
      </w:r>
      <w:r w:rsidR="004B4861">
        <w:rPr>
          <w:i/>
          <w:color w:val="000000"/>
        </w:rPr>
        <w:t>Самара</w:t>
      </w:r>
      <w:r>
        <w:rPr>
          <w:i/>
          <w:color w:val="000000"/>
        </w:rPr>
        <w:t>, Россия</w:t>
      </w:r>
    </w:p>
    <w:p w:rsidR="00130241" w:rsidRPr="00D407D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D407D7">
        <w:rPr>
          <w:i/>
          <w:color w:val="000000"/>
          <w:lang w:val="de-DE"/>
        </w:rPr>
        <w:t>E</w:t>
      </w:r>
      <w:r w:rsidR="003B76D6" w:rsidRPr="00D407D7">
        <w:rPr>
          <w:i/>
          <w:color w:val="000000"/>
          <w:lang w:val="de-DE"/>
        </w:rPr>
        <w:t>-</w:t>
      </w:r>
      <w:r w:rsidRPr="00D407D7">
        <w:rPr>
          <w:i/>
          <w:color w:val="000000"/>
          <w:lang w:val="de-DE"/>
        </w:rPr>
        <w:t xml:space="preserve">mail: </w:t>
      </w:r>
      <w:r w:rsidR="004B4861" w:rsidRPr="00D407D7">
        <w:rPr>
          <w:i/>
          <w:color w:val="000000"/>
          <w:u w:val="single"/>
          <w:lang w:val="de-DE"/>
        </w:rPr>
        <w:t>to4ilin.nickolai@yandex.ru</w:t>
      </w:r>
    </w:p>
    <w:p w:rsidR="004B4861" w:rsidRDefault="004B48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Переход от нефтяных к возобновляемым источникам сырья является одной из актуальных задач химического производства. Потребление нефти, газа, угля приводит к истощению их запасов. Кроме того традиционные источники сырья имеют низкие экологические показатели, по сравнению с возобновляемыми, что в обозримом будущем будет накладывать дополнительные энергетические затраты на их переработку.</w:t>
      </w:r>
    </w:p>
    <w:p w:rsidR="007C36D8" w:rsidRDefault="004B48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2E6735">
        <w:rPr>
          <w:color w:val="000000"/>
        </w:rPr>
        <w:t xml:space="preserve">При переработке древесной биомассы получают множество химических веществ, часть из которых относится к классу альдегидов и кетонов. В данной работе изучена реакция альдольной конденсации фурфурола и циклогексанона на гетерогенных катализаторах. </w:t>
      </w:r>
      <w:r w:rsidR="00BB623D">
        <w:rPr>
          <w:color w:val="000000"/>
        </w:rPr>
        <w:t xml:space="preserve">Реакция приведена на схеме 1. </w:t>
      </w:r>
    </w:p>
    <w:p w:rsidR="00BB623D" w:rsidRDefault="00BB623D" w:rsidP="00BB62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63798" cy="627182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26" cy="630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23D" w:rsidRDefault="00BB623D" w:rsidP="00BB62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1. Альдольная конденсация фурфурола и циклогексанона</w:t>
      </w:r>
    </w:p>
    <w:p w:rsidR="002E6735" w:rsidRDefault="00DB280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2E6735">
        <w:rPr>
          <w:color w:val="000000"/>
        </w:rPr>
        <w:t>с</w:t>
      </w:r>
      <w:r w:rsidR="00BB623D">
        <w:rPr>
          <w:color w:val="000000"/>
        </w:rPr>
        <w:t xml:space="preserve">следованы оксидные катализаторы, а именно </w:t>
      </w:r>
      <w:r w:rsidR="00BB623D">
        <w:rPr>
          <w:color w:val="000000"/>
          <w:lang w:val="en-US"/>
        </w:rPr>
        <w:t>Al</w:t>
      </w:r>
      <w:r w:rsidR="00BB623D" w:rsidRPr="00BB623D">
        <w:rPr>
          <w:color w:val="000000"/>
          <w:vertAlign w:val="subscript"/>
        </w:rPr>
        <w:t>2</w:t>
      </w:r>
      <w:r w:rsidR="00BB623D">
        <w:rPr>
          <w:color w:val="000000"/>
          <w:lang w:val="en-US"/>
        </w:rPr>
        <w:t>O</w:t>
      </w:r>
      <w:r w:rsidR="00BB623D" w:rsidRPr="00BB623D">
        <w:rPr>
          <w:color w:val="000000"/>
          <w:vertAlign w:val="subscript"/>
        </w:rPr>
        <w:t>3</w:t>
      </w:r>
      <w:r w:rsidR="00BB623D">
        <w:rPr>
          <w:color w:val="000000"/>
        </w:rPr>
        <w:t xml:space="preserve">, </w:t>
      </w:r>
      <w:r w:rsidR="00BB623D">
        <w:rPr>
          <w:color w:val="000000"/>
          <w:lang w:val="en-US"/>
        </w:rPr>
        <w:t>MgO</w:t>
      </w:r>
      <w:r w:rsidR="00BB623D" w:rsidRPr="00BB623D">
        <w:rPr>
          <w:color w:val="000000"/>
        </w:rPr>
        <w:t xml:space="preserve"> </w:t>
      </w:r>
      <w:r w:rsidR="00BB623D">
        <w:rPr>
          <w:color w:val="000000"/>
        </w:rPr>
        <w:t xml:space="preserve">и </w:t>
      </w:r>
      <w:r w:rsidR="00BB623D">
        <w:rPr>
          <w:color w:val="000000"/>
          <w:lang w:val="en-US"/>
        </w:rPr>
        <w:t>ZnO</w:t>
      </w:r>
      <w:r w:rsidR="00BB623D">
        <w:rPr>
          <w:color w:val="000000"/>
        </w:rPr>
        <w:t xml:space="preserve">, обладающие основными активными центрами. </w:t>
      </w:r>
      <w:r w:rsidR="00535042">
        <w:rPr>
          <w:color w:val="000000"/>
        </w:rPr>
        <w:t xml:space="preserve">Далее были синтезированы реконструированные двойные гидроксиды состава </w:t>
      </w:r>
      <w:r w:rsidR="00535042">
        <w:rPr>
          <w:color w:val="000000"/>
          <w:lang w:val="en-US"/>
        </w:rPr>
        <w:t>Mg</w:t>
      </w:r>
      <w:r w:rsidR="00535042" w:rsidRPr="00D407D7">
        <w:rPr>
          <w:color w:val="000000"/>
        </w:rPr>
        <w:t>-</w:t>
      </w:r>
      <w:r w:rsidR="00535042">
        <w:rPr>
          <w:color w:val="000000"/>
          <w:lang w:val="en-US"/>
        </w:rPr>
        <w:t>Al</w:t>
      </w:r>
      <w:r w:rsidR="00535042" w:rsidRPr="00D407D7">
        <w:rPr>
          <w:color w:val="000000"/>
        </w:rPr>
        <w:t xml:space="preserve"> </w:t>
      </w:r>
      <w:r w:rsidR="00535042">
        <w:rPr>
          <w:color w:val="000000"/>
        </w:rPr>
        <w:t xml:space="preserve">и </w:t>
      </w:r>
      <w:r w:rsidR="00535042">
        <w:rPr>
          <w:color w:val="000000"/>
          <w:lang w:val="en-US"/>
        </w:rPr>
        <w:t>Zn</w:t>
      </w:r>
      <w:r w:rsidR="00535042" w:rsidRPr="00D407D7">
        <w:rPr>
          <w:color w:val="000000"/>
        </w:rPr>
        <w:t>-</w:t>
      </w:r>
      <w:r w:rsidR="00535042">
        <w:rPr>
          <w:color w:val="000000"/>
          <w:lang w:val="en-US"/>
        </w:rPr>
        <w:t>Al</w:t>
      </w:r>
      <w:r w:rsidR="00535042">
        <w:rPr>
          <w:color w:val="000000"/>
        </w:rPr>
        <w:t xml:space="preserve"> методом соосаждения и последующей реконструкции смешанных оксидов в воде. Также были исследованы нанесённые катализаторы того же качественного состава методом пропитки оксида алюминия раствором нитрата магния или цинка по влагоёмкости под вакуумом. При равных условиях эксперимента (температура 90 </w:t>
      </w:r>
      <w:r w:rsidR="00535042">
        <w:rPr>
          <w:color w:val="000000"/>
          <w:vertAlign w:val="superscript"/>
        </w:rPr>
        <w:t>о</w:t>
      </w:r>
      <w:r w:rsidR="00535042">
        <w:rPr>
          <w:color w:val="000000"/>
        </w:rPr>
        <w:t xml:space="preserve">С, мольное соотношение </w:t>
      </w:r>
      <w:proofErr w:type="gramStart"/>
      <w:r w:rsidR="00535042">
        <w:rPr>
          <w:color w:val="000000"/>
        </w:rPr>
        <w:t>фурфурол :</w:t>
      </w:r>
      <w:proofErr w:type="gramEnd"/>
      <w:r w:rsidR="00535042">
        <w:rPr>
          <w:color w:val="000000"/>
        </w:rPr>
        <w:t xml:space="preserve"> циклогексанон 1:1) наибольшая конверсия достигается при использовании н</w:t>
      </w:r>
      <w:r>
        <w:rPr>
          <w:color w:val="000000"/>
        </w:rPr>
        <w:t>анесённых катализаторов. Б</w:t>
      </w:r>
      <w:r w:rsidR="00535042">
        <w:rPr>
          <w:color w:val="000000"/>
        </w:rPr>
        <w:t>ыло изучено влияние модифицирования исследованных катализаторов гидроксидом натрия, увеличивающего концентрацию основных центров на поверхности. Равновесные конверсии исходных реагентов при использовании полученных катализаторов приведены на рисунке 1.</w:t>
      </w:r>
    </w:p>
    <w:p w:rsidR="00535042" w:rsidRPr="00161658" w:rsidRDefault="007F101A" w:rsidP="008D0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530302">
            <wp:extent cx="2895600" cy="1712289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12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46F8EDAA">
            <wp:extent cx="2916990" cy="17221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06" cy="1733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042" w:rsidRDefault="00535042" w:rsidP="0053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Равновесные конве</w:t>
      </w:r>
      <w:r w:rsidR="007F101A">
        <w:rPr>
          <w:color w:val="000000"/>
        </w:rPr>
        <w:t>рсии фурфурола и циклогексанона</w:t>
      </w:r>
    </w:p>
    <w:p w:rsidR="00BB623D" w:rsidRDefault="007F101A" w:rsidP="007F101A">
      <w:pPr>
        <w:ind w:firstLine="397"/>
        <w:jc w:val="both"/>
      </w:pPr>
      <w:r>
        <w:t>При равных условиях ведения процесса наибольшую активность проявляют нанесённые катализаторы, модифицированные щёлочью.</w:t>
      </w:r>
      <w:r w:rsidR="00DB2802">
        <w:t xml:space="preserve"> </w:t>
      </w:r>
      <w:r>
        <w:t xml:space="preserve"> </w:t>
      </w:r>
      <w:r w:rsidR="00DB2802">
        <w:t xml:space="preserve">Определена селективность процесса по целевым продуктам: при использовании оксидных катализаторов она составляет 50-55%, для реконструированных, нанесённых и модифицированных – 65-75%. </w:t>
      </w:r>
      <w:r>
        <w:t>Изучаемые катализаторы были проанализированы различными физико-химическими методами.</w:t>
      </w:r>
      <w:bookmarkStart w:id="0" w:name="_GoBack"/>
      <w:bookmarkEnd w:id="0"/>
    </w:p>
    <w:sectPr w:rsidR="00BB623D" w:rsidSect="00AA2B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61658"/>
    <w:rsid w:val="001E61C2"/>
    <w:rsid w:val="001F0493"/>
    <w:rsid w:val="002264EE"/>
    <w:rsid w:val="0023307C"/>
    <w:rsid w:val="002E6735"/>
    <w:rsid w:val="0031361E"/>
    <w:rsid w:val="00391C38"/>
    <w:rsid w:val="003B76D6"/>
    <w:rsid w:val="0041035D"/>
    <w:rsid w:val="004A26A3"/>
    <w:rsid w:val="004B4861"/>
    <w:rsid w:val="004F0EDF"/>
    <w:rsid w:val="00522BF1"/>
    <w:rsid w:val="00535042"/>
    <w:rsid w:val="00590166"/>
    <w:rsid w:val="006F7A19"/>
    <w:rsid w:val="00775389"/>
    <w:rsid w:val="00797838"/>
    <w:rsid w:val="007C36D8"/>
    <w:rsid w:val="007F101A"/>
    <w:rsid w:val="007F2744"/>
    <w:rsid w:val="008931BE"/>
    <w:rsid w:val="008D0CB3"/>
    <w:rsid w:val="00921D45"/>
    <w:rsid w:val="009350EF"/>
    <w:rsid w:val="009A66DB"/>
    <w:rsid w:val="009B2F80"/>
    <w:rsid w:val="009B3300"/>
    <w:rsid w:val="009F3380"/>
    <w:rsid w:val="00A02163"/>
    <w:rsid w:val="00A314FE"/>
    <w:rsid w:val="00AA2B9E"/>
    <w:rsid w:val="00BB623D"/>
    <w:rsid w:val="00BF36F8"/>
    <w:rsid w:val="00BF4622"/>
    <w:rsid w:val="00CD00B1"/>
    <w:rsid w:val="00D22306"/>
    <w:rsid w:val="00D407D7"/>
    <w:rsid w:val="00D42542"/>
    <w:rsid w:val="00D8121C"/>
    <w:rsid w:val="00DB2802"/>
    <w:rsid w:val="00E22189"/>
    <w:rsid w:val="00E74069"/>
    <w:rsid w:val="00EB1F49"/>
    <w:rsid w:val="00F865B3"/>
    <w:rsid w:val="00FB1509"/>
    <w:rsid w:val="00FC5A8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AE3D"/>
  <w15:docId w15:val="{98842227-AC04-41D7-8FA9-1B8D90D9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A2B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A2B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A2B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A2B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A2B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A2B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2B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A2B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A2B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C5A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A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99822-2FBF-4A80-B38A-70F9C268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2023-02-02T06:30:00Z</cp:lastPrinted>
  <dcterms:created xsi:type="dcterms:W3CDTF">2023-02-02T09:55:00Z</dcterms:created>
  <dcterms:modified xsi:type="dcterms:W3CDTF">2023-02-02T10:36:00Z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