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Кинетические закономерности </w:t>
      </w:r>
      <w:r>
        <w:rPr>
          <w:b/>
          <w:color w:val="000000"/>
        </w:rPr>
        <w:t>получения пропилена из этилена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на гетерогенном </w:t>
      </w:r>
      <w:r>
        <w:rPr>
          <w:b/>
          <w:color w:val="000000"/>
        </w:rPr>
        <w:t xml:space="preserve">катализаторе </w:t>
      </w:r>
      <w:r>
        <w:rPr>
          <w:b/>
          <w:color w:val="000000"/>
        </w:rPr>
        <w:t>Pd</w:t>
      </w:r>
      <w:r>
        <w:rPr>
          <w:b/>
          <w:color w:val="000000"/>
          <w:lang w:val="en-US"/>
        </w:rPr>
        <w:t>O</w:t>
      </w:r>
      <w:r>
        <w:rPr>
          <w:b/>
          <w:color w:val="000000"/>
        </w:rPr>
        <w:t>-</w:t>
      </w:r>
      <w:r>
        <w:rPr>
          <w:b/>
          <w:color w:val="000000"/>
          <w:lang w:val="en-US"/>
        </w:rPr>
        <w:t>Re</w:t>
      </w:r>
      <w:r>
        <w:rPr>
          <w:b/>
          <w:color w:val="000000"/>
          <w:vertAlign w:val="subscript"/>
        </w:rPr>
        <w:t>2</w:t>
      </w:r>
      <w:r>
        <w:rPr>
          <w:b/>
          <w:color w:val="000000"/>
          <w:lang w:val="en-US"/>
        </w:rPr>
        <w:t>O</w:t>
      </w:r>
      <w:r>
        <w:rPr>
          <w:b/>
          <w:color w:val="000000"/>
          <w:vertAlign w:val="subscript"/>
        </w:rPr>
        <w:t>7</w:t>
      </w:r>
      <w:r>
        <w:rPr>
          <w:b/>
          <w:color w:val="000000"/>
        </w:rPr>
        <w:t>/</w:t>
      </w:r>
      <w:r>
        <w:rPr>
          <w:b/>
          <w:color w:val="000000"/>
          <w:lang w:val="en-US"/>
        </w:rPr>
        <w:t>WO</w:t>
      </w:r>
      <w:r>
        <w:rPr>
          <w:b/>
          <w:color w:val="000000"/>
          <w:vertAlign w:val="subscript"/>
        </w:rPr>
        <w:t>3</w:t>
      </w:r>
      <w:r>
        <w:rPr>
          <w:b/>
          <w:color w:val="000000"/>
        </w:rPr>
        <w:t>-</w:t>
      </w:r>
      <w:r>
        <w:rPr>
          <w:b/>
          <w:color w:val="000000"/>
          <w:lang w:val="en-US"/>
        </w:rPr>
        <w:t>Al</w:t>
      </w:r>
      <w:r>
        <w:rPr>
          <w:b/>
          <w:color w:val="000000"/>
          <w:vertAlign w:val="subscript"/>
        </w:rPr>
        <w:t>2</w:t>
      </w:r>
      <w:r>
        <w:rPr>
          <w:b/>
          <w:color w:val="000000"/>
          <w:lang w:val="en-US"/>
        </w:rPr>
        <w:t>O</w:t>
      </w:r>
      <w:r>
        <w:rPr>
          <w:b/>
          <w:color w:val="000000"/>
          <w:vertAlign w:val="subscript"/>
        </w:rPr>
        <w:t xml:space="preserve">3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Федяков</w:t>
      </w:r>
      <w:r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Е</w:t>
      </w:r>
      <w:r>
        <w:rPr>
          <w:b/>
          <w:i/>
          <w:color w:val="000000"/>
        </w:rPr>
        <w:t>.,</w:t>
      </w:r>
      <w:r>
        <w:rPr>
          <w:b/>
          <w:i/>
          <w:color w:val="000000"/>
        </w:rPr>
        <w:t xml:space="preserve"> Сенин А.А.</w:t>
      </w:r>
      <w:r>
        <w:rPr>
          <w:b/>
          <w:color w:val="000000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 </w:t>
      </w:r>
      <w:r>
        <w:rPr>
          <w:i/>
          <w:color w:val="000000"/>
        </w:rPr>
        <w:t>МИРЭА – Российс</w:t>
      </w:r>
      <w:r>
        <w:rPr>
          <w:i/>
          <w:color w:val="000000"/>
        </w:rPr>
        <w:t>кий технологический университет</w:t>
      </w:r>
      <w:r>
        <w:rPr>
          <w:i/>
          <w:color w:val="000000"/>
        </w:rPr>
        <w:t>,</w:t>
      </w:r>
      <w:r>
        <w:rPr>
          <w:i/>
          <w:color w:val="000000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тонких химических технологий им. М.В. Ломоносова</w:t>
      </w:r>
      <w:r>
        <w:rPr>
          <w:i/>
          <w:color w:val="000000"/>
        </w:rPr>
        <w:t>,</w:t>
      </w:r>
      <w:r>
        <w:rPr>
          <w:i/>
          <w:color w:val="000000"/>
        </w:rPr>
        <w:t xml:space="preserve"> Москва, Россия</w:t>
      </w:r>
      <w:bookmarkStart w:id="0" w:name="_GoBack"/>
      <w:bookmarkEnd w:id="0"/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 xml:space="preserve">: </w:t>
      </w:r>
      <w:r>
        <w:rPr/>
        <w:fldChar w:fldCharType="begin"/>
      </w:r>
      <w:r>
        <w:instrText xml:space="preserve"> HYPERLINK "mailto:address3107@gmail.com" </w:instrText>
      </w:r>
      <w:r>
        <w:rPr/>
        <w:fldChar w:fldCharType="separate"/>
      </w:r>
      <w:r>
        <w:rPr>
          <w:rStyle w:val="style85"/>
          <w:i/>
          <w:lang w:val="en-US"/>
        </w:rPr>
        <w:t>address</w:t>
      </w:r>
      <w:r>
        <w:rPr>
          <w:rStyle w:val="style85"/>
          <w:i/>
        </w:rPr>
        <w:t>3107@</w:t>
      </w:r>
      <w:r>
        <w:rPr>
          <w:rStyle w:val="style85"/>
          <w:i/>
          <w:lang w:val="en-US"/>
        </w:rPr>
        <w:t>gmail</w:t>
      </w:r>
      <w:r>
        <w:rPr>
          <w:rStyle w:val="style85"/>
          <w:i/>
        </w:rPr>
        <w:t>.</w:t>
      </w:r>
      <w:r>
        <w:rPr>
          <w:rStyle w:val="style85"/>
          <w:i/>
          <w:lang w:val="en-US"/>
        </w:rPr>
        <w:t>com</w:t>
      </w:r>
      <w:r>
        <w:rPr/>
        <w:fldChar w:fldCharType="end"/>
      </w:r>
      <w:r>
        <w:rPr>
          <w:i/>
          <w:color w:val="000000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Пропилен является</w:t>
      </w:r>
      <w:r>
        <w:rPr>
          <w:color w:val="000000"/>
        </w:rPr>
        <w:t xml:space="preserve"> </w:t>
      </w:r>
      <w:r>
        <w:rPr>
          <w:color w:val="000000"/>
        </w:rPr>
        <w:t xml:space="preserve">базовым </w:t>
      </w:r>
      <w:r>
        <w:rPr>
          <w:color w:val="000000"/>
        </w:rPr>
        <w:t>сырьем для нефтехимического</w:t>
      </w:r>
      <w:r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</w:rPr>
        <w:t>органического</w:t>
      </w:r>
      <w:r>
        <w:rPr>
          <w:color w:val="000000"/>
        </w:rPr>
        <w:t xml:space="preserve"> синтеза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 xml:space="preserve">которое </w:t>
      </w:r>
      <w:r>
        <w:rPr>
          <w:color w:val="000000"/>
        </w:rPr>
        <w:t>использу</w:t>
      </w:r>
      <w:r>
        <w:rPr>
          <w:color w:val="000000"/>
        </w:rPr>
        <w:t>ется</w:t>
      </w:r>
      <w:r>
        <w:rPr>
          <w:color w:val="000000"/>
        </w:rPr>
        <w:t xml:space="preserve"> д</w:t>
      </w:r>
      <w:r>
        <w:rPr>
          <w:color w:val="000000"/>
        </w:rPr>
        <w:t xml:space="preserve">ля производства полипропилена, </w:t>
      </w:r>
      <w:r>
        <w:rPr>
          <w:color w:val="000000"/>
        </w:rPr>
        <w:t>акрилонитрила, каучука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м</w:t>
      </w:r>
      <w:r>
        <w:rPr>
          <w:color w:val="000000"/>
        </w:rPr>
        <w:t>оторных топлив и т.д</w:t>
      </w:r>
      <w:r>
        <w:rPr>
          <w:color w:val="000000"/>
        </w:rPr>
        <w:t>.</w:t>
      </w:r>
      <w:r>
        <w:rPr>
          <w:color w:val="000000"/>
        </w:rPr>
        <w:t xml:space="preserve"> В настоящее время ведутся </w:t>
      </w:r>
      <w:r>
        <w:rPr>
          <w:color w:val="000000"/>
        </w:rPr>
        <w:t>работы по получению пропилена не</w:t>
      </w:r>
      <w:r>
        <w:rPr>
          <w:color w:val="000000"/>
        </w:rPr>
        <w:t> </w:t>
      </w:r>
      <w:r>
        <w:rPr>
          <w:color w:val="000000"/>
        </w:rPr>
        <w:t>только пиролиз</w:t>
      </w:r>
      <w:r>
        <w:rPr>
          <w:color w:val="000000"/>
        </w:rPr>
        <w:t>ом</w:t>
      </w:r>
      <w:r>
        <w:rPr>
          <w:color w:val="000000"/>
        </w:rPr>
        <w:t xml:space="preserve">, но </w:t>
      </w:r>
      <w:r>
        <w:rPr>
          <w:color w:val="000000"/>
        </w:rPr>
        <w:t xml:space="preserve">также </w:t>
      </w:r>
      <w:r>
        <w:rPr>
          <w:color w:val="000000"/>
        </w:rPr>
        <w:t>глубок</w:t>
      </w:r>
      <w:r>
        <w:rPr>
          <w:color w:val="000000"/>
        </w:rPr>
        <w:t>им</w:t>
      </w:r>
      <w:r>
        <w:rPr>
          <w:color w:val="000000"/>
        </w:rPr>
        <w:t xml:space="preserve"> </w:t>
      </w:r>
      <w:r>
        <w:rPr>
          <w:color w:val="000000"/>
        </w:rPr>
        <w:t>каталитическ</w:t>
      </w:r>
      <w:r>
        <w:rPr>
          <w:color w:val="000000"/>
        </w:rPr>
        <w:t>им</w:t>
      </w:r>
      <w:r>
        <w:rPr>
          <w:color w:val="000000"/>
        </w:rPr>
        <w:t xml:space="preserve"> крекинг</w:t>
      </w:r>
      <w:r>
        <w:rPr>
          <w:color w:val="000000"/>
        </w:rPr>
        <w:t>ом</w:t>
      </w:r>
      <w:r>
        <w:rPr>
          <w:color w:val="000000"/>
        </w:rPr>
        <w:t>, дегидрировани</w:t>
      </w:r>
      <w:r>
        <w:rPr>
          <w:color w:val="000000"/>
        </w:rPr>
        <w:t>ем</w:t>
      </w:r>
      <w:r>
        <w:rPr>
          <w:color w:val="000000"/>
        </w:rPr>
        <w:t xml:space="preserve"> пропан</w:t>
      </w:r>
      <w:r>
        <w:rPr>
          <w:color w:val="000000"/>
        </w:rPr>
        <w:t xml:space="preserve">а, </w:t>
      </w:r>
      <w:r>
        <w:rPr>
          <w:color w:val="000000"/>
        </w:rPr>
        <w:t>синтез</w:t>
      </w:r>
      <w:r>
        <w:rPr>
          <w:color w:val="000000"/>
        </w:rPr>
        <w:t>ом</w:t>
      </w:r>
      <w:r>
        <w:rPr>
          <w:color w:val="000000"/>
        </w:rPr>
        <w:t xml:space="preserve"> </w:t>
      </w:r>
      <w:r>
        <w:rPr>
          <w:color w:val="000000"/>
        </w:rPr>
        <w:t>алкенов</w:t>
      </w:r>
      <w:r>
        <w:rPr>
          <w:color w:val="000000"/>
        </w:rPr>
        <w:t xml:space="preserve"> из </w:t>
      </w:r>
      <w:r>
        <w:rPr>
          <w:color w:val="000000"/>
        </w:rPr>
        <w:t xml:space="preserve">метанола и </w:t>
      </w:r>
      <w:r>
        <w:rPr>
          <w:color w:val="000000"/>
        </w:rPr>
        <w:t>метатезис</w:t>
      </w:r>
      <w:r>
        <w:rPr>
          <w:color w:val="000000"/>
        </w:rPr>
        <w:t>ом</w:t>
      </w:r>
      <w:r>
        <w:rPr>
          <w:color w:val="000000"/>
        </w:rPr>
        <w:t xml:space="preserve"> эти</w:t>
      </w:r>
      <w:r>
        <w:rPr>
          <w:color w:val="000000"/>
        </w:rPr>
        <w:t>лена и бутенов</w:t>
      </w:r>
      <w:r>
        <w:rPr>
          <w:color w:val="000000"/>
        </w:rPr>
        <w:t xml:space="preserve"> </w:t>
      </w:r>
      <w:r>
        <w:rPr>
          <w:color w:val="000000"/>
        </w:rPr>
        <w:t>[</w:t>
      </w:r>
      <w:r>
        <w:rPr>
          <w:color w:val="000000"/>
        </w:rPr>
        <w:t>1</w:t>
      </w:r>
      <w:r>
        <w:rPr>
          <w:color w:val="000000"/>
        </w:rPr>
        <w:t>]</w:t>
      </w:r>
      <w:r>
        <w:rPr>
          <w:color w:val="000000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Целью наш</w:t>
      </w:r>
      <w:r>
        <w:rPr>
          <w:color w:val="000000"/>
        </w:rPr>
        <w:t>ей работы явля</w:t>
      </w:r>
      <w:r>
        <w:rPr>
          <w:color w:val="000000"/>
        </w:rPr>
        <w:t xml:space="preserve">лось </w:t>
      </w:r>
      <w:r>
        <w:rPr>
          <w:color w:val="000000"/>
        </w:rPr>
        <w:t xml:space="preserve">определение кинетических закономерностей процесса </w:t>
      </w:r>
      <w:r>
        <w:rPr>
          <w:color w:val="000000"/>
        </w:rPr>
        <w:t>получени</w:t>
      </w:r>
      <w:r>
        <w:rPr>
          <w:color w:val="000000"/>
        </w:rPr>
        <w:t>я</w:t>
      </w:r>
      <w:r>
        <w:rPr>
          <w:color w:val="000000"/>
        </w:rPr>
        <w:t xml:space="preserve"> пропилена из этилена </w:t>
      </w:r>
      <w:r>
        <w:rPr>
          <w:color w:val="000000"/>
        </w:rPr>
        <w:t xml:space="preserve">в газовой фазе на </w:t>
      </w:r>
      <w:bookmarkStart w:id="1" w:name="_Hlk128339738"/>
      <w:r>
        <w:rPr>
          <w:color w:val="000000"/>
        </w:rPr>
        <w:t xml:space="preserve">гетерогенном </w:t>
      </w:r>
      <w:bookmarkStart w:id="2" w:name="_Hlk127974175"/>
      <w:r>
        <w:rPr>
          <w:color w:val="000000"/>
        </w:rPr>
        <w:t xml:space="preserve">катализаторе </w:t>
      </w:r>
      <w:r>
        <w:rPr>
          <w:color w:val="000000"/>
        </w:rPr>
        <w:t>PdO-</w:t>
      </w:r>
      <w:bookmarkStart w:id="3" w:name="_Hlk128424876"/>
      <w:r>
        <w:rPr>
          <w:color w:val="000000"/>
        </w:rPr>
        <w:t>Re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  <w:vertAlign w:val="subscript"/>
        </w:rPr>
        <w:t>7</w:t>
      </w:r>
      <w:r>
        <w:rPr>
          <w:color w:val="000000"/>
        </w:rPr>
        <w:t>/</w:t>
      </w:r>
      <w:r>
        <w:rPr>
          <w:color w:val="000000"/>
          <w:lang w:val="en-US"/>
        </w:rPr>
        <w:t>WO</w:t>
      </w:r>
      <w:r>
        <w:rPr>
          <w:color w:val="000000"/>
          <w:vertAlign w:val="subscript"/>
        </w:rPr>
        <w:t>3</w:t>
      </w:r>
      <w:r>
        <w:rPr>
          <w:color w:val="000000"/>
        </w:rPr>
        <w:t>-</w:t>
      </w:r>
      <w:r>
        <w:rPr>
          <w:color w:val="000000"/>
        </w:rPr>
        <w:t>Al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  <w:vertAlign w:val="subscript"/>
        </w:rPr>
        <w:t>3</w:t>
      </w:r>
      <w:bookmarkEnd w:id="1"/>
      <w:bookmarkEnd w:id="2"/>
      <w:bookmarkEnd w:id="3"/>
      <w:r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color w:val="000000"/>
        </w:rPr>
        <w:t xml:space="preserve">Для этого </w:t>
      </w:r>
      <w:r>
        <w:rPr>
          <w:color w:val="000000"/>
        </w:rPr>
        <w:t xml:space="preserve">мы </w:t>
      </w:r>
      <w:r>
        <w:rPr>
          <w:color w:val="000000"/>
        </w:rPr>
        <w:t>синтезировали катализатор по</w:t>
      </w:r>
      <w:r>
        <w:rPr>
          <w:color w:val="000000"/>
        </w:rPr>
        <w:t xml:space="preserve"> </w:t>
      </w:r>
      <w:r>
        <w:rPr>
          <w:color w:val="000000"/>
        </w:rPr>
        <w:t xml:space="preserve">известным в литературе методикам и </w:t>
      </w:r>
      <w:r>
        <w:rPr>
          <w:color w:val="000000"/>
        </w:rPr>
        <w:t>провели</w:t>
      </w:r>
      <w:r>
        <w:rPr>
          <w:color w:val="000000"/>
        </w:rPr>
        <w:t xml:space="preserve"> и</w:t>
      </w:r>
      <w:r>
        <w:rPr>
          <w:color w:val="000000"/>
        </w:rPr>
        <w:t>спытани</w:t>
      </w:r>
      <w:r>
        <w:rPr>
          <w:color w:val="000000"/>
        </w:rPr>
        <w:t>я</w:t>
      </w:r>
      <w:r>
        <w:rPr>
          <w:color w:val="000000"/>
        </w:rPr>
        <w:t xml:space="preserve"> в реакторе проточного типа с неподвижным слоем катализатора. </w:t>
      </w:r>
      <w:r>
        <w:rPr>
          <w:color w:val="000000"/>
        </w:rPr>
        <w:t xml:space="preserve">В ходе экспериментов </w:t>
      </w:r>
      <w:r>
        <w:rPr>
          <w:color w:val="000000"/>
        </w:rPr>
        <w:t xml:space="preserve">были </w:t>
      </w:r>
      <w:r>
        <w:rPr>
          <w:color w:val="000000"/>
        </w:rPr>
        <w:t>получены</w:t>
      </w:r>
      <w:r>
        <w:rPr>
          <w:color w:val="000000"/>
        </w:rPr>
        <w:t xml:space="preserve"> зависимости от температуры в диапазоне от 60 до 100</w:t>
      </w:r>
      <w:r>
        <w:rPr>
          <w:color w:val="000000"/>
        </w:rPr>
        <w:t> </w:t>
      </w:r>
      <w:r>
        <w:rPr>
          <w:color w:val="000000"/>
        </w:rPr>
        <w:t>°С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 xml:space="preserve">давления </w:t>
      </w:r>
      <w:r>
        <w:rPr>
          <w:color w:val="000000"/>
        </w:rPr>
        <w:t xml:space="preserve">в диапазоне </w:t>
      </w:r>
      <w:r>
        <w:rPr>
          <w:color w:val="000000"/>
        </w:rPr>
        <w:t>от</w:t>
      </w:r>
      <w:r>
        <w:rPr>
          <w:color w:val="000000"/>
        </w:rPr>
        <w:t xml:space="preserve"> </w:t>
      </w:r>
      <w:r>
        <w:rPr>
          <w:color w:val="000000"/>
        </w:rPr>
        <w:t xml:space="preserve">2 до 4 </w:t>
      </w:r>
      <w:r>
        <w:rPr>
          <w:color w:val="000000"/>
        </w:rPr>
        <w:t>МПа</w:t>
      </w:r>
      <w:r>
        <w:rPr>
          <w:color w:val="000000"/>
        </w:rPr>
        <w:t xml:space="preserve"> и </w:t>
      </w:r>
      <w:r>
        <w:rPr>
          <w:color w:val="000000"/>
        </w:rPr>
        <w:t xml:space="preserve">от </w:t>
      </w:r>
      <w:r>
        <w:rPr>
          <w:color w:val="000000"/>
        </w:rPr>
        <w:t>различно</w:t>
      </w:r>
      <w:r>
        <w:rPr>
          <w:color w:val="000000"/>
        </w:rPr>
        <w:t>го</w:t>
      </w:r>
      <w:r>
        <w:rPr>
          <w:color w:val="000000"/>
        </w:rPr>
        <w:t xml:space="preserve"> времени реакции. Результаты представлены </w:t>
      </w: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таблице</w:t>
      </w:r>
      <w:r>
        <w:rPr>
          <w:color w:val="000000"/>
        </w:rPr>
        <w:t xml:space="preserve"> 1.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ind w:firstLine="397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Таблица 1</w:t>
      </w:r>
      <w:r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color w:val="000000"/>
        </w:rPr>
        <w:t>И</w:t>
      </w:r>
      <w:r>
        <w:rPr>
          <w:color w:val="000000"/>
        </w:rPr>
        <w:t xml:space="preserve">спытания </w:t>
      </w:r>
      <w:r>
        <w:rPr>
          <w:color w:val="000000"/>
        </w:rPr>
        <w:t xml:space="preserve">гетерогенного </w:t>
      </w:r>
      <w:r>
        <w:rPr>
          <w:color w:val="000000"/>
        </w:rPr>
        <w:t>катализатор</w:t>
      </w:r>
      <w:r>
        <w:rPr>
          <w:color w:val="000000"/>
        </w:rPr>
        <w:t>а</w:t>
      </w:r>
      <w:r>
        <w:rPr>
          <w:color w:val="000000"/>
        </w:rPr>
        <w:t xml:space="preserve"> </w:t>
      </w:r>
      <w:r>
        <w:rPr>
          <w:color w:val="000000"/>
        </w:rPr>
        <w:t>PdO-Re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  <w:vertAlign w:val="subscript"/>
        </w:rPr>
        <w:t>7</w:t>
      </w:r>
      <w:r>
        <w:rPr>
          <w:color w:val="000000"/>
        </w:rPr>
        <w:t>/</w:t>
      </w:r>
      <w:r>
        <w:rPr>
          <w:color w:val="000000"/>
          <w:lang w:val="en-US"/>
        </w:rPr>
        <w:t>WO</w:t>
      </w:r>
      <w:r>
        <w:rPr>
          <w:color w:val="000000"/>
          <w:vertAlign w:val="subscript"/>
        </w:rPr>
        <w:t>3</w:t>
      </w:r>
      <w:r>
        <w:rPr>
          <w:color w:val="000000"/>
        </w:rPr>
        <w:t>-</w:t>
      </w:r>
      <w:r>
        <w:rPr>
          <w:color w:val="000000"/>
        </w:rPr>
        <w:t>Al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в</w:t>
      </w:r>
      <w:r>
        <w:rPr>
          <w:color w:val="000000"/>
        </w:rPr>
        <w:t> </w:t>
      </w:r>
      <w:r>
        <w:rPr>
          <w:color w:val="000000"/>
        </w:rPr>
        <w:t>процесс</w:t>
      </w:r>
      <w:r>
        <w:rPr>
          <w:color w:val="000000"/>
        </w:rPr>
        <w:t>е</w:t>
      </w:r>
      <w:r>
        <w:rPr>
          <w:color w:val="000000"/>
        </w:rPr>
        <w:t xml:space="preserve"> получения пропилена из этилена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1695"/>
        <w:gridCol w:w="1962"/>
        <w:gridCol w:w="1383"/>
        <w:gridCol w:w="1807"/>
        <w:gridCol w:w="1253"/>
        <w:gridCol w:w="1114"/>
      </w:tblGrid>
      <w:tr>
        <w:trPr/>
        <w:tc>
          <w:tcPr>
            <w:tcW w:w="1695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Давление</w:t>
            </w:r>
            <w:r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</w:rPr>
              <w:t>МПа</w:t>
            </w:r>
          </w:p>
        </w:tc>
        <w:tc>
          <w:tcPr>
            <w:tcW w:w="1962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Температура</w:t>
            </w:r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 xml:space="preserve"> </w:t>
            </w:r>
            <w:bookmarkStart w:id="4" w:name="_Hlk128342162"/>
            <w:r>
              <w:rPr>
                <w:color w:val="000000"/>
              </w:rPr>
              <w:t>°С</w:t>
            </w:r>
            <w:bookmarkEnd w:id="4"/>
          </w:p>
        </w:tc>
        <w:tc>
          <w:tcPr>
            <w:tcW w:w="1383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Время, мин</w:t>
            </w:r>
          </w:p>
        </w:tc>
        <w:tc>
          <w:tcPr>
            <w:tcW w:w="1807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Конверсия этилена, %</w:t>
            </w:r>
          </w:p>
        </w:tc>
        <w:tc>
          <w:tcPr>
            <w:tcW w:w="236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Селективность, %</w:t>
            </w:r>
          </w:p>
        </w:tc>
      </w:tr>
      <w:tr>
        <w:tblPrEx/>
        <w:trPr/>
        <w:tc>
          <w:tcPr>
            <w:tcW w:w="1695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62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7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53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по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  <w:vertAlign w:val="subscript"/>
                <w:lang w:val="en-US"/>
              </w:rPr>
              <w:t>3</w:t>
            </w:r>
            <w:r>
              <w:rPr>
                <w:color w:val="000000"/>
                <w:lang w:val="en-US"/>
              </w:rPr>
              <w:t>H</w:t>
            </w:r>
            <w:r>
              <w:rPr>
                <w:color w:val="000000"/>
                <w:vertAlign w:val="subscript"/>
                <w:lang w:val="en-US"/>
              </w:rPr>
              <w:t>8</w:t>
            </w:r>
          </w:p>
        </w:tc>
        <w:tc>
          <w:tcPr>
            <w:tcW w:w="1114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по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  <w:vertAlign w:val="subscript"/>
                <w:lang w:val="en-US"/>
              </w:rPr>
              <w:t>4</w:t>
            </w:r>
            <w:r>
              <w:rPr>
                <w:color w:val="000000"/>
                <w:lang w:val="en-US"/>
              </w:rPr>
              <w:t>H</w:t>
            </w:r>
            <w:r>
              <w:rPr>
                <w:color w:val="000000"/>
                <w:vertAlign w:val="subscript"/>
                <w:lang w:val="en-US"/>
              </w:rPr>
              <w:t>10</w:t>
            </w:r>
          </w:p>
        </w:tc>
      </w:tr>
      <w:tr>
        <w:tblPrEx/>
        <w:trPr/>
        <w:tc>
          <w:tcPr>
            <w:tcW w:w="1695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962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60</w:t>
            </w:r>
          </w:p>
        </w:tc>
        <w:tc>
          <w:tcPr>
            <w:tcW w:w="1383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120</w:t>
            </w:r>
          </w:p>
        </w:tc>
        <w:tc>
          <w:tcPr>
            <w:tcW w:w="1807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1,</w:t>
            </w:r>
            <w:r>
              <w:rPr>
                <w:lang w:val="en-US"/>
              </w:rPr>
              <w:t>5</w:t>
            </w:r>
          </w:p>
        </w:tc>
        <w:tc>
          <w:tcPr>
            <w:tcW w:w="1253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83,5</w:t>
            </w:r>
          </w:p>
        </w:tc>
        <w:tc>
          <w:tcPr>
            <w:tcW w:w="1114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16,5</w:t>
            </w:r>
          </w:p>
        </w:tc>
      </w:tr>
      <w:tr>
        <w:tblPrEx/>
        <w:trPr/>
        <w:tc>
          <w:tcPr>
            <w:tcW w:w="1695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962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70</w:t>
            </w:r>
          </w:p>
        </w:tc>
        <w:tc>
          <w:tcPr>
            <w:tcW w:w="1383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120</w:t>
            </w:r>
          </w:p>
        </w:tc>
        <w:tc>
          <w:tcPr>
            <w:tcW w:w="1807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18,2</w:t>
            </w:r>
          </w:p>
        </w:tc>
        <w:tc>
          <w:tcPr>
            <w:tcW w:w="1253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84,5</w:t>
            </w:r>
          </w:p>
        </w:tc>
        <w:tc>
          <w:tcPr>
            <w:tcW w:w="1114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14,5</w:t>
            </w:r>
          </w:p>
        </w:tc>
      </w:tr>
      <w:tr>
        <w:tblPrEx/>
        <w:trPr/>
        <w:tc>
          <w:tcPr>
            <w:tcW w:w="1695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962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70</w:t>
            </w:r>
          </w:p>
        </w:tc>
        <w:tc>
          <w:tcPr>
            <w:tcW w:w="1383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180</w:t>
            </w:r>
          </w:p>
        </w:tc>
        <w:tc>
          <w:tcPr>
            <w:tcW w:w="1807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18,</w:t>
            </w:r>
            <w:r>
              <w:rPr>
                <w:lang w:val="en-US"/>
              </w:rPr>
              <w:t>5</w:t>
            </w:r>
          </w:p>
        </w:tc>
        <w:tc>
          <w:tcPr>
            <w:tcW w:w="1253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80,7</w:t>
            </w:r>
          </w:p>
        </w:tc>
        <w:tc>
          <w:tcPr>
            <w:tcW w:w="1114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17,9</w:t>
            </w:r>
          </w:p>
        </w:tc>
      </w:tr>
      <w:tr>
        <w:tblPrEx/>
        <w:trPr/>
        <w:tc>
          <w:tcPr>
            <w:tcW w:w="1695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962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80</w:t>
            </w:r>
          </w:p>
        </w:tc>
        <w:tc>
          <w:tcPr>
            <w:tcW w:w="1383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120</w:t>
            </w:r>
          </w:p>
        </w:tc>
        <w:tc>
          <w:tcPr>
            <w:tcW w:w="1807" w:type="dxa"/>
            <w:tcBorders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lang w:val="en-US"/>
              </w:rPr>
              <w:t>20</w:t>
            </w:r>
            <w:r>
              <w:t>,0</w:t>
            </w:r>
          </w:p>
        </w:tc>
        <w:tc>
          <w:tcPr>
            <w:tcW w:w="1253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66,1</w:t>
            </w:r>
          </w:p>
        </w:tc>
        <w:tc>
          <w:tcPr>
            <w:tcW w:w="1114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30,1</w:t>
            </w:r>
          </w:p>
        </w:tc>
      </w:tr>
      <w:tr>
        <w:tblPrEx/>
        <w:trPr/>
        <w:tc>
          <w:tcPr>
            <w:tcW w:w="1695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962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100</w:t>
            </w:r>
          </w:p>
        </w:tc>
        <w:tc>
          <w:tcPr>
            <w:tcW w:w="1383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60</w:t>
            </w:r>
          </w:p>
        </w:tc>
        <w:tc>
          <w:tcPr>
            <w:tcW w:w="1807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34,</w:t>
            </w:r>
            <w:r>
              <w:t>0</w:t>
            </w:r>
          </w:p>
        </w:tc>
        <w:tc>
          <w:tcPr>
            <w:tcW w:w="1253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84,8</w:t>
            </w:r>
          </w:p>
        </w:tc>
        <w:tc>
          <w:tcPr>
            <w:tcW w:w="1114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13,6</w:t>
            </w:r>
          </w:p>
        </w:tc>
      </w:tr>
      <w:tr>
        <w:tblPrEx/>
        <w:trPr/>
        <w:tc>
          <w:tcPr>
            <w:tcW w:w="1695" w:type="dxa"/>
            <w:tcBorders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62" w:type="dxa"/>
            <w:tcBorders/>
          </w:tcPr>
          <w:p>
            <w:pPr>
              <w:pStyle w:val="style0"/>
              <w:jc w:val="center"/>
              <w:rPr/>
            </w:pPr>
            <w:r>
              <w:t>100</w:t>
            </w:r>
          </w:p>
        </w:tc>
        <w:tc>
          <w:tcPr>
            <w:tcW w:w="1383" w:type="dxa"/>
            <w:tcBorders/>
          </w:tcPr>
          <w:p>
            <w:pPr>
              <w:pStyle w:val="style0"/>
              <w:jc w:val="center"/>
              <w:rPr/>
            </w:pPr>
            <w:r>
              <w:t>100</w:t>
            </w:r>
          </w:p>
        </w:tc>
        <w:tc>
          <w:tcPr>
            <w:tcW w:w="1807" w:type="dxa"/>
            <w:tcBorders/>
          </w:tcPr>
          <w:p>
            <w:pPr>
              <w:pStyle w:val="style0"/>
              <w:jc w:val="center"/>
              <w:rPr/>
            </w:pPr>
            <w:r>
              <w:t>3</w:t>
            </w:r>
            <w:r>
              <w:t>6,0</w:t>
            </w:r>
          </w:p>
        </w:tc>
        <w:tc>
          <w:tcPr>
            <w:tcW w:w="1253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82,6</w:t>
            </w:r>
          </w:p>
        </w:tc>
        <w:tc>
          <w:tcPr>
            <w:tcW w:w="1114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16,1</w:t>
            </w:r>
          </w:p>
        </w:tc>
      </w:tr>
      <w:tr>
        <w:tblPrEx/>
        <w:trPr/>
        <w:tc>
          <w:tcPr>
            <w:tcW w:w="1695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962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100</w:t>
            </w:r>
          </w:p>
        </w:tc>
        <w:tc>
          <w:tcPr>
            <w:tcW w:w="1383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1</w:t>
            </w:r>
            <w:r>
              <w:rPr>
                <w:lang w:val="en-US"/>
              </w:rPr>
              <w:t>80</w:t>
            </w:r>
          </w:p>
        </w:tc>
        <w:tc>
          <w:tcPr>
            <w:tcW w:w="1807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29,4</w:t>
            </w:r>
          </w:p>
        </w:tc>
        <w:tc>
          <w:tcPr>
            <w:tcW w:w="1253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64,7</w:t>
            </w:r>
          </w:p>
        </w:tc>
        <w:tc>
          <w:tcPr>
            <w:tcW w:w="1114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31,9</w:t>
            </w:r>
          </w:p>
        </w:tc>
      </w:tr>
      <w:tr>
        <w:tblPrEx/>
        <w:trPr/>
        <w:tc>
          <w:tcPr>
            <w:tcW w:w="1695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962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100</w:t>
            </w:r>
          </w:p>
        </w:tc>
        <w:tc>
          <w:tcPr>
            <w:tcW w:w="1383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25</w:t>
            </w:r>
            <w:r>
              <w:t>0</w:t>
            </w:r>
          </w:p>
        </w:tc>
        <w:tc>
          <w:tcPr>
            <w:tcW w:w="1807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23,</w:t>
            </w:r>
            <w:r>
              <w:t>5</w:t>
            </w:r>
          </w:p>
        </w:tc>
        <w:tc>
          <w:tcPr>
            <w:tcW w:w="1253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51,1</w:t>
            </w:r>
          </w:p>
        </w:tc>
        <w:tc>
          <w:tcPr>
            <w:tcW w:w="1114" w:type="dxa"/>
            <w:tcBorders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t>42,6</w:t>
            </w: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both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Было выявлено, что </w:t>
      </w:r>
      <w:r>
        <w:rPr>
          <w:color w:val="000000"/>
        </w:rPr>
        <w:t xml:space="preserve">на гетерогенном </w:t>
      </w:r>
      <w:r>
        <w:rPr>
          <w:color w:val="000000"/>
        </w:rPr>
        <w:t xml:space="preserve">катализаторе </w:t>
      </w:r>
      <w:r>
        <w:rPr>
          <w:color w:val="000000"/>
        </w:rPr>
        <w:t>PdO-Re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  <w:vertAlign w:val="subscript"/>
        </w:rPr>
        <w:t>7</w:t>
      </w:r>
      <w:r>
        <w:rPr>
          <w:color w:val="000000"/>
        </w:rPr>
        <w:t>/</w:t>
      </w:r>
      <w:r>
        <w:rPr>
          <w:color w:val="000000"/>
          <w:lang w:val="en-US"/>
        </w:rPr>
        <w:t>WO</w:t>
      </w:r>
      <w:r>
        <w:rPr>
          <w:color w:val="000000"/>
          <w:vertAlign w:val="subscript"/>
        </w:rPr>
        <w:t>3</w:t>
      </w:r>
      <w:r>
        <w:rPr>
          <w:color w:val="000000"/>
        </w:rPr>
        <w:t>-</w:t>
      </w:r>
      <w:r>
        <w:rPr>
          <w:color w:val="000000"/>
        </w:rPr>
        <w:t>Al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степень превращения этилена в </w:t>
      </w:r>
      <w:r>
        <w:rPr>
          <w:color w:val="000000"/>
        </w:rPr>
        <w:t>пропилен</w:t>
      </w:r>
      <w:r>
        <w:rPr>
          <w:color w:val="000000"/>
        </w:rPr>
        <w:t xml:space="preserve"> </w:t>
      </w:r>
      <w:r>
        <w:rPr>
          <w:color w:val="000000"/>
        </w:rPr>
        <w:t>достигает</w:t>
      </w:r>
      <w:r>
        <w:rPr>
          <w:color w:val="000000"/>
        </w:rPr>
        <w:t xml:space="preserve"> </w:t>
      </w:r>
      <w:r>
        <w:rPr>
          <w:color w:val="000000"/>
        </w:rPr>
        <w:t>36,0</w:t>
      </w:r>
      <w:r>
        <w:rPr>
          <w:color w:val="000000"/>
        </w:rPr>
        <w:t xml:space="preserve"> </w:t>
      </w:r>
      <w:r>
        <w:rPr>
          <w:color w:val="000000"/>
        </w:rPr>
        <w:t xml:space="preserve">% при селективности процесса </w:t>
      </w:r>
      <w:r>
        <w:rPr>
          <w:color w:val="000000"/>
        </w:rPr>
        <w:br/>
      </w:r>
      <w:r>
        <w:rPr>
          <w:color w:val="000000"/>
        </w:rPr>
        <w:t>до 8</w:t>
      </w:r>
      <w:r>
        <w:rPr>
          <w:color w:val="000000"/>
        </w:rPr>
        <w:t>4,8 </w:t>
      </w:r>
      <w:r>
        <w:rPr>
          <w:color w:val="000000"/>
        </w:rPr>
        <w:t>%</w:t>
      </w:r>
      <w:r>
        <w:rPr>
          <w:color w:val="000000"/>
        </w:rPr>
        <w:t xml:space="preserve"> и</w:t>
      </w:r>
      <w:r>
        <w:rPr>
          <w:color w:val="000000"/>
        </w:rPr>
        <w:t xml:space="preserve"> </w:t>
      </w:r>
      <w:r>
        <w:rPr>
          <w:color w:val="000000"/>
        </w:rPr>
        <w:t>п</w:t>
      </w:r>
      <w:r>
        <w:rPr>
          <w:color w:val="000000"/>
        </w:rPr>
        <w:t xml:space="preserve">овышение </w:t>
      </w:r>
      <w:r>
        <w:rPr>
          <w:color w:val="000000"/>
        </w:rPr>
        <w:t xml:space="preserve">температуры процесса </w:t>
      </w:r>
      <w:r>
        <w:rPr>
          <w:color w:val="000000"/>
        </w:rPr>
        <w:t>приводит к резкому увеличению конверсии этилена</w:t>
      </w:r>
      <w:r>
        <w:rPr>
          <w:color w:val="000000"/>
        </w:rPr>
        <w:t xml:space="preserve">. </w:t>
      </w:r>
      <w:r>
        <w:rPr>
          <w:color w:val="000000"/>
        </w:rPr>
        <w:t xml:space="preserve">В результате проведения опытов </w:t>
      </w:r>
      <w:r>
        <w:rPr>
          <w:color w:val="000000"/>
        </w:rPr>
        <w:t xml:space="preserve">по изменению времени процесса </w:t>
      </w:r>
      <w:r>
        <w:rPr>
          <w:color w:val="000000"/>
        </w:rPr>
        <w:t>наблюдалась дезактивация катализатора</w:t>
      </w:r>
      <w:r>
        <w:rPr>
          <w:color w:val="000000"/>
        </w:rPr>
        <w:t>,</w:t>
      </w:r>
      <w:r>
        <w:rPr>
          <w:color w:val="000000"/>
        </w:rPr>
        <w:t xml:space="preserve"> в</w:t>
      </w:r>
      <w:r>
        <w:rPr>
          <w:color w:val="000000"/>
        </w:rPr>
        <w:t>следстви</w:t>
      </w:r>
      <w:r>
        <w:rPr>
          <w:color w:val="000000"/>
        </w:rPr>
        <w:t>е</w:t>
      </w:r>
      <w:r>
        <w:rPr>
          <w:color w:val="000000"/>
        </w:rPr>
        <w:t xml:space="preserve"> которой снижалась селективность п</w:t>
      </w:r>
      <w:r>
        <w:rPr>
          <w:color w:val="000000"/>
        </w:rPr>
        <w:t>о</w:t>
      </w:r>
      <w:r>
        <w:rPr>
          <w:color w:val="000000"/>
        </w:rPr>
        <w:t xml:space="preserve"> п</w:t>
      </w:r>
      <w:r>
        <w:rPr>
          <w:color w:val="000000"/>
        </w:rPr>
        <w:t xml:space="preserve">ропилену за счет увеличения доли тяжелых продуктов </w:t>
      </w:r>
      <w:r>
        <w:rPr>
          <w:color w:val="000000"/>
        </w:rPr>
        <w:t>реакции</w:t>
      </w:r>
      <w:r>
        <w:rPr>
          <w:color w:val="000000"/>
        </w:rPr>
        <w:t>.</w:t>
      </w:r>
      <w:r>
        <w:rPr>
          <w:color w:val="000000"/>
        </w:rPr>
        <w:t xml:space="preserve"> Необходимо отметить, что ускорению дезактивации катализатора способствовал</w:t>
      </w:r>
      <w:r>
        <w:rPr>
          <w:color w:val="000000"/>
        </w:rPr>
        <w:t xml:space="preserve">о увеличение температуры и </w:t>
      </w:r>
      <w:r>
        <w:rPr>
          <w:color w:val="000000"/>
        </w:rPr>
        <w:t>давлени</w:t>
      </w:r>
      <w:r>
        <w:rPr>
          <w:color w:val="000000"/>
        </w:rPr>
        <w:t>я</w:t>
      </w:r>
      <w:r>
        <w:rPr>
          <w:color w:val="000000"/>
        </w:rPr>
        <w:t xml:space="preserve"> процесса.</w:t>
      </w:r>
      <w:r>
        <w:rPr>
          <w:color w:val="000000"/>
        </w:rPr>
        <w:t xml:space="preserve"> Таким образом</w:t>
      </w:r>
      <w:r>
        <w:rPr>
          <w:color w:val="000000"/>
        </w:rPr>
        <w:t xml:space="preserve"> установлено, что </w:t>
      </w:r>
      <w:r>
        <w:rPr>
          <w:color w:val="000000"/>
        </w:rPr>
        <w:t>получени</w:t>
      </w:r>
      <w:r>
        <w:rPr>
          <w:color w:val="000000"/>
        </w:rPr>
        <w:t>е</w:t>
      </w:r>
      <w:r>
        <w:rPr>
          <w:color w:val="000000"/>
        </w:rPr>
        <w:t xml:space="preserve"> пропилена из этилена с максимальными </w:t>
      </w:r>
      <w:r>
        <w:rPr>
          <w:color w:val="000000"/>
        </w:rPr>
        <w:t>значениями</w:t>
      </w:r>
      <w:r>
        <w:rPr>
          <w:color w:val="000000"/>
        </w:rPr>
        <w:t xml:space="preserve"> селективности и конверсии </w:t>
      </w:r>
      <w:r>
        <w:rPr>
          <w:color w:val="000000"/>
        </w:rPr>
        <w:t>следует</w:t>
      </w:r>
      <w:r>
        <w:rPr>
          <w:color w:val="000000"/>
        </w:rPr>
        <w:t xml:space="preserve"> проводить при температуре 100</w:t>
      </w:r>
      <w:r>
        <w:rPr>
          <w:color w:val="000000"/>
        </w:rPr>
        <w:t> </w:t>
      </w:r>
      <w:r>
        <w:rPr>
          <w:color w:val="000000"/>
        </w:rPr>
        <w:t>°С</w:t>
      </w:r>
      <w:r>
        <w:rPr>
          <w:color w:val="000000"/>
        </w:rPr>
        <w:t>, давлени</w:t>
      </w:r>
      <w:r>
        <w:rPr>
          <w:color w:val="000000"/>
        </w:rPr>
        <w:t>и</w:t>
      </w:r>
      <w:r>
        <w:rPr>
          <w:color w:val="000000"/>
        </w:rPr>
        <w:t xml:space="preserve"> 4</w:t>
      </w:r>
      <w:r>
        <w:rPr>
          <w:color w:val="000000"/>
        </w:rPr>
        <w:t> </w:t>
      </w:r>
      <w:r>
        <w:rPr>
          <w:color w:val="000000"/>
        </w:rPr>
        <w:t xml:space="preserve">МПа и времени </w:t>
      </w:r>
      <w:r>
        <w:rPr>
          <w:color w:val="000000"/>
        </w:rPr>
        <w:t>реакции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не</w:t>
      </w:r>
      <w:r>
        <w:rPr>
          <w:color w:val="000000"/>
        </w:rPr>
        <w:t> </w:t>
      </w:r>
      <w:r>
        <w:rPr>
          <w:color w:val="000000"/>
        </w:rPr>
        <w:t>превышающ</w:t>
      </w:r>
      <w:r>
        <w:rPr>
          <w:color w:val="000000"/>
        </w:rPr>
        <w:t>е</w:t>
      </w:r>
      <w:r>
        <w:rPr>
          <w:color w:val="000000"/>
        </w:rPr>
        <w:t>м 2 часа.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>Л</w:t>
      </w:r>
      <w:r>
        <w:rPr>
          <w:b/>
          <w:bCs/>
          <w:color w:val="000000"/>
        </w:rPr>
        <w:t>итератур</w:t>
      </w:r>
      <w:r>
        <w:rPr>
          <w:b/>
          <w:bCs/>
          <w:color w:val="000000"/>
        </w:rPr>
        <w:t>а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>Mol J.C</w:t>
      </w:r>
      <w:r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 xml:space="preserve">Industrial applications of olefin metathesis </w:t>
      </w:r>
      <w:r>
        <w:rPr>
          <w:color w:val="000000"/>
          <w:lang w:val="en-US"/>
        </w:rPr>
        <w:t xml:space="preserve">// </w:t>
      </w:r>
      <w:r>
        <w:rPr>
          <w:color w:val="000000"/>
          <w:lang w:val="en-US"/>
        </w:rPr>
        <w:t xml:space="preserve">J. Mol. </w:t>
      </w:r>
      <w:r>
        <w:rPr>
          <w:color w:val="000000"/>
          <w:lang w:val="en-US"/>
        </w:rPr>
        <w:t>Catal</w:t>
      </w:r>
      <w:r>
        <w:rPr>
          <w:color w:val="000000"/>
        </w:rPr>
        <w:t xml:space="preserve">. 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: </w:t>
      </w:r>
      <w:r>
        <w:rPr>
          <w:color w:val="000000"/>
          <w:lang w:val="en-US"/>
        </w:rPr>
        <w:t>Chem</w:t>
      </w:r>
      <w:r>
        <w:rPr>
          <w:color w:val="000000"/>
        </w:rPr>
        <w:t xml:space="preserve">. 2004. </w:t>
      </w:r>
      <w:r>
        <w:rPr>
          <w:color w:val="000000"/>
          <w:lang w:val="en-US"/>
        </w:rPr>
        <w:t>Vol</w:t>
      </w:r>
      <w:r>
        <w:rPr>
          <w:color w:val="000000"/>
        </w:rPr>
        <w:t>.</w:t>
      </w:r>
      <w:r>
        <w:rPr>
          <w:color w:val="000000"/>
        </w:rPr>
        <w:t> </w:t>
      </w:r>
      <w:r>
        <w:rPr>
          <w:color w:val="000000"/>
        </w:rPr>
        <w:t xml:space="preserve">213. </w:t>
      </w:r>
      <w:r>
        <w:rPr>
          <w:color w:val="000000"/>
          <w:lang w:val="en-US"/>
        </w:rPr>
        <w:t>P</w:t>
      </w:r>
      <w:r>
        <w:rPr>
          <w:color w:val="000000"/>
        </w:rPr>
        <w:t>. 39−45</w:t>
      </w:r>
      <w:r>
        <w:rPr>
          <w:color w:val="000000"/>
        </w:rPr>
        <w:t>.</w:t>
      </w:r>
    </w:p>
    <w:sectPr>
      <w:pgSz w:w="11906" w:h="16838" w:orient="portrait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004020303"/>
    <w:charset w:val="cc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179">
    <w:name w:val="List Paragraph"/>
    <w:basedOn w:val="style0"/>
    <w:next w:val="style179"/>
    <w:link w:val="style4098"/>
    <w:qFormat/>
    <w:uiPriority w:val="34"/>
    <w:pPr>
      <w:ind w:left="720"/>
      <w:contextualSpacing/>
    </w:pPr>
    <w:rPr/>
  </w:style>
  <w:style w:type="character" w:customStyle="1" w:styleId="style4098">
    <w:name w:val="Абзац списка Знак"/>
    <w:basedOn w:val="style65"/>
    <w:next w:val="style4098"/>
    <w:link w:val="style179"/>
    <w:uiPriority w:val="34"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7">
    <w:name w:val="No Spacing"/>
    <w:next w:val="style157"/>
    <w:qFormat/>
    <w:uiPriority w:val="1"/>
    <w:pPr/>
    <w:rPr>
      <w:rFonts w:cs="Times New Roman"/>
      <w:sz w:val="22"/>
      <w:szCs w:val="22"/>
      <w:lang w:val="en-US" w:bidi="en-US" w:eastAsia="en-US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9">
    <w:name w:val="Неразрешенное упоминание1"/>
    <w:basedOn w:val="style65"/>
    <w:next w:val="style4099"/>
    <w:uiPriority w:val="99"/>
    <w:rPr>
      <w:color w:val="605e5c"/>
      <w:shd w:val="clear" w:color="auto" w:fill="e1dfdd"/>
    </w:rPr>
  </w:style>
  <w:style w:type="paragraph" w:styleId="style153">
    <w:name w:val="Balloon Text"/>
    <w:basedOn w:val="style0"/>
    <w:next w:val="style153"/>
    <w:link w:val="style4100"/>
    <w:uiPriority w:val="99"/>
    <w:pPr/>
    <w:rPr>
      <w:rFonts w:ascii="Tahoma" w:cs="Tahoma" w:hAnsi="Tahoma"/>
      <w:sz w:val="16"/>
      <w:szCs w:val="16"/>
    </w:rPr>
  </w:style>
  <w:style w:type="character" w:customStyle="1" w:styleId="style4100">
    <w:name w:val="Текст выноски Знак"/>
    <w:basedOn w:val="style65"/>
    <w:next w:val="style4100"/>
    <w:link w:val="style153"/>
    <w:uiPriority w:val="99"/>
    <w:rPr>
      <w:rFonts w:ascii="Tahoma" w:cs="Tahoma" w:eastAsia="Times New Roman" w:hAnsi="Tahoma"/>
      <w:sz w:val="16"/>
      <w:szCs w:val="16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101">
    <w:name w:val="Plain Table 1"/>
    <w:basedOn w:val="style105"/>
    <w:next w:val="style4101"/>
    <w:uiPriority w:val="41"/>
    <w:pPr/>
    <w:rPr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double" w:sz="4" w:space="0" w:color="bfbfbf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character" w:customStyle="1" w:styleId="style4102">
    <w:name w:val="Unresolved Mention"/>
    <w:basedOn w:val="style65"/>
    <w:next w:val="style4102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4B72D8-7B3D-44B1-A827-DE65B9AD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346</Words>
  <Pages>1</Pages>
  <Characters>2189</Characters>
  <Application>WPS Office</Application>
  <DocSecurity>0</DocSecurity>
  <Paragraphs>84</Paragraphs>
  <ScaleCrop>false</ScaleCrop>
  <Company>Lomonosov MSU</Company>
  <LinksUpToDate>false</LinksUpToDate>
  <CharactersWithSpaces>2475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2023-03-23T05:54:00Z</dcterms:created>
  <dc:creator>Сенин Алексей Александрович</dc:creator>
  <lastModifiedBy>LE2121</lastModifiedBy>
  <dcterms:modified xsi:type="dcterms:W3CDTF">2023-03-23T06:53:29Z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ICV">
    <vt:lpwstr>fa0874d297774627830fc02c0367a1fb</vt:lpwstr>
  </property>
</Properties>
</file>