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ED89" w14:textId="224F4A03" w:rsidR="00AC75EF" w:rsidRPr="00AC75EF" w:rsidRDefault="00391A0F" w:rsidP="00391A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bookmarkStart w:id="0" w:name="_Hlk126707996"/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</w:t>
      </w:r>
      <w:r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идродехлорировани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</w:t>
      </w:r>
      <w:proofErr w:type="spellEnd"/>
      <w:r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диклофенака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на </w:t>
      </w:r>
      <w:proofErr w:type="spellStart"/>
      <w:r w:rsidR="00AC75EF"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PdFe</w:t>
      </w:r>
      <w:proofErr w:type="spellEnd"/>
      <w:r w:rsidR="00AC75EF"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/</w:t>
      </w:r>
      <w:r w:rsidR="00AC75EF"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Al</w:t>
      </w:r>
      <w:r w:rsidR="00AC75EF"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="00AC75EF"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O</w:t>
      </w:r>
      <w:r w:rsidR="00AC75EF"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 в</w:t>
      </w:r>
      <w:r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лияние содержания </w:t>
      </w:r>
      <w:r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Fe</w:t>
      </w:r>
      <w:r w:rsidRPr="00AC75E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6282AF84" w14:textId="688A6E54" w:rsidR="00AC75EF" w:rsidRPr="00EB3C4D" w:rsidRDefault="00AC75EF" w:rsidP="00AC75E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6FF5">
        <w:rPr>
          <w:rFonts w:ascii="Times New Roman" w:hAnsi="Times New Roman"/>
          <w:b/>
          <w:bCs/>
          <w:i/>
          <w:iCs/>
          <w:sz w:val="24"/>
          <w:szCs w:val="24"/>
        </w:rPr>
        <w:t>Песоцкий М.Д</w:t>
      </w:r>
      <w:r w:rsidRPr="00506F4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Шишова В.В</w:t>
      </w:r>
      <w:r w:rsidR="00846FF5">
        <w:rPr>
          <w:rFonts w:ascii="Times New Roman" w:hAnsi="Times New Roman"/>
          <w:b/>
          <w:bCs/>
          <w:i/>
          <w:iCs/>
          <w:sz w:val="24"/>
          <w:szCs w:val="24"/>
        </w:rPr>
        <w:t>.,</w:t>
      </w:r>
      <w:r w:rsidR="000C24FB" w:rsidRPr="000C24FB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846FF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B3C4D">
        <w:rPr>
          <w:rFonts w:ascii="Times New Roman" w:hAnsi="Times New Roman"/>
          <w:b/>
          <w:bCs/>
          <w:i/>
          <w:iCs/>
          <w:sz w:val="24"/>
          <w:szCs w:val="24"/>
        </w:rPr>
        <w:t>Локтева Е.С.</w:t>
      </w:r>
      <w:r w:rsidR="00EB3C4D" w:rsidRPr="00EB3C4D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="00EB3C4D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A944C9E" w14:textId="701A2CFB" w:rsidR="00AC75EF" w:rsidRDefault="00AC75EF" w:rsidP="00AC75EF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Студент, 2 курс специалитета</w:t>
      </w:r>
    </w:p>
    <w:p w14:paraId="364C384B" w14:textId="77777777" w:rsidR="00AC75EF" w:rsidRPr="00BD5DE0" w:rsidRDefault="00AC75EF" w:rsidP="00AC7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BD5DE0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Pr="00BD5DE0">
        <w:rPr>
          <w:rFonts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2518687E" w14:textId="77777777" w:rsidR="00AC75EF" w:rsidRDefault="00AC75EF" w:rsidP="00AC75EF">
      <w:pPr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BD5DE0">
        <w:rPr>
          <w:rFonts w:ascii="Times New Roman" w:hAnsi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346D7C0C" w14:textId="77777777" w:rsidR="00AC75EF" w:rsidRPr="00685125" w:rsidRDefault="00AC75EF" w:rsidP="00AC75EF">
      <w:pP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28366D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685125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28366D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685125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D1308E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mpesotskiy</w:t>
      </w:r>
      <w:proofErr w:type="spellEnd"/>
      <w:r w:rsidRPr="00685125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2003@</w:t>
      </w:r>
      <w:proofErr w:type="spellStart"/>
      <w:r w:rsidRPr="00D1308E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Pr="00685125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  <w:r w:rsidRPr="00D1308E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com</w:t>
      </w:r>
    </w:p>
    <w:p w14:paraId="16A2C670" w14:textId="140C8190" w:rsidR="00B401BD" w:rsidRDefault="00085FA2" w:rsidP="00085FA2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Диклофенак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– противовоспалительный препарат, устойчивый к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био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деградации.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Его обнаруживают в водах рек и иных водоемов, поэтому необходима его утилизация</w:t>
      </w:r>
      <w:r w:rsidR="000C24F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C24FB" w:rsidRPr="000C24FB">
        <w:rPr>
          <w:rFonts w:ascii="Times New Roman" w:eastAsia="Times New Roman" w:hAnsi="Times New Roman"/>
          <w:color w:val="000000"/>
          <w:sz w:val="24"/>
          <w:szCs w:val="24"/>
        </w:rPr>
        <w:t>[1].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B6665BE" w14:textId="656D9A70" w:rsidR="00EC3A7D" w:rsidRDefault="00085FA2" w:rsidP="00EC3A7D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аталитическое </w:t>
      </w:r>
      <w:proofErr w:type="spellStart"/>
      <w:r w:rsidRPr="00085FA2">
        <w:rPr>
          <w:rFonts w:ascii="Times New Roman" w:eastAsia="Times New Roman" w:hAnsi="Times New Roman"/>
          <w:color w:val="000000"/>
          <w:sz w:val="24"/>
          <w:szCs w:val="24"/>
        </w:rPr>
        <w:t>гидродехлорирование</w:t>
      </w:r>
      <w:proofErr w:type="spellEnd"/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 (ГДХ)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– перспективный метод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 удаления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66C5F">
        <w:rPr>
          <w:rFonts w:ascii="Times New Roman" w:eastAsia="Times New Roman" w:hAnsi="Times New Roman"/>
          <w:color w:val="000000"/>
          <w:sz w:val="24"/>
          <w:szCs w:val="24"/>
        </w:rPr>
        <w:t>диклофенака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 xml:space="preserve"> из воды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 [</w:t>
      </w:r>
      <w:r w:rsidR="000C24FB" w:rsidRPr="000C24FB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085FA2">
        <w:rPr>
          <w:rFonts w:ascii="Times New Roman" w:eastAsia="Times New Roman" w:hAnsi="Times New Roman"/>
          <w:color w:val="000000"/>
          <w:sz w:val="24"/>
          <w:szCs w:val="24"/>
        </w:rPr>
        <w:t xml:space="preserve">].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Продукты ГДХ диклофенака обладают значительно меньшей токсичностью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41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C75EF">
        <w:rPr>
          <w:rFonts w:ascii="Times New Roman" w:eastAsia="Times New Roman" w:hAnsi="Times New Roman"/>
          <w:color w:val="000000"/>
          <w:sz w:val="24"/>
          <w:szCs w:val="24"/>
        </w:rPr>
        <w:t xml:space="preserve">В данной работе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влажной пропиткой γ-</w:t>
      </w:r>
      <w:r w:rsid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</w:t>
      </w:r>
      <w:r w:rsidR="00391A0F" w:rsidRPr="009F149F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</w:t>
      </w:r>
      <w:r w:rsidR="00391A0F" w:rsidRPr="009F149F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="00391A0F" w:rsidRPr="009F1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 xml:space="preserve">одновременно двумя солями </w:t>
      </w:r>
      <w:r w:rsidR="00AC75EF">
        <w:rPr>
          <w:rFonts w:ascii="Times New Roman" w:eastAsia="Times New Roman" w:hAnsi="Times New Roman"/>
          <w:color w:val="000000"/>
          <w:sz w:val="24"/>
          <w:szCs w:val="24"/>
        </w:rPr>
        <w:t xml:space="preserve">синтезировали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палладиевые</w:t>
      </w:r>
      <w:r w:rsidR="00AC75EF">
        <w:rPr>
          <w:rFonts w:ascii="Times New Roman" w:eastAsia="Times New Roman" w:hAnsi="Times New Roman"/>
          <w:color w:val="000000"/>
          <w:sz w:val="24"/>
          <w:szCs w:val="24"/>
        </w:rPr>
        <w:t xml:space="preserve"> катализаторы (1</w:t>
      </w:r>
      <w:r w:rsidR="00AC75EF" w:rsidRPr="009F1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AC75EF">
        <w:rPr>
          <w:rFonts w:ascii="Times New Roman" w:eastAsia="Times New Roman" w:hAnsi="Times New Roman"/>
          <w:color w:val="000000"/>
          <w:sz w:val="24"/>
          <w:szCs w:val="24"/>
        </w:rPr>
        <w:t>масс.%</w:t>
      </w:r>
      <w:proofErr w:type="gramEnd"/>
      <w:r w:rsidR="00AC75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C75E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Pd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), модифицированные железом (</w:t>
      </w:r>
      <w:r w:rsidR="00AC75EF">
        <w:rPr>
          <w:rFonts w:ascii="Times New Roman" w:eastAsia="Times New Roman" w:hAnsi="Times New Roman"/>
          <w:color w:val="000000"/>
          <w:sz w:val="24"/>
          <w:szCs w:val="24"/>
        </w:rPr>
        <w:t>0,5 масс.</w:t>
      </w:r>
      <w:r w:rsidR="00AC75EF" w:rsidRPr="009F149F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3E79A6" w:rsidRPr="003E79A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79A6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ли</w:t>
      </w:r>
      <w:r w:rsidR="003E79A6">
        <w:rPr>
          <w:rFonts w:ascii="Times New Roman" w:eastAsia="Times New Roman" w:hAnsi="Times New Roman"/>
          <w:color w:val="000000"/>
          <w:sz w:val="24"/>
          <w:szCs w:val="24"/>
        </w:rPr>
        <w:t xml:space="preserve"> 10 масс.%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100F7E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0D36AE">
        <w:rPr>
          <w:rFonts w:ascii="Times New Roman" w:eastAsia="Times New Roman" w:hAnsi="Times New Roman"/>
          <w:color w:val="000000"/>
          <w:sz w:val="24"/>
          <w:szCs w:val="24"/>
        </w:rPr>
        <w:t xml:space="preserve">далее </w:t>
      </w:r>
      <w:r w:rsidR="00100F7E">
        <w:rPr>
          <w:rFonts w:ascii="Times New Roman" w:eastAsia="Times New Roman" w:hAnsi="Times New Roman"/>
          <w:color w:val="000000"/>
          <w:sz w:val="24"/>
          <w:szCs w:val="24"/>
        </w:rPr>
        <w:t xml:space="preserve">они обозначены как </w:t>
      </w:r>
      <w:proofErr w:type="spellStart"/>
      <w:r w:rsidR="00100F7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PdFe</w:t>
      </w:r>
      <w:proofErr w:type="spellEnd"/>
      <w:r w:rsidR="00100F7E" w:rsidRPr="00100F7E">
        <w:rPr>
          <w:rFonts w:ascii="Times New Roman" w:eastAsia="Times New Roman" w:hAnsi="Times New Roman"/>
          <w:color w:val="000000"/>
          <w:sz w:val="24"/>
          <w:szCs w:val="24"/>
        </w:rPr>
        <w:t xml:space="preserve">0,5 </w:t>
      </w:r>
      <w:r w:rsidR="00100F7E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proofErr w:type="spellStart"/>
      <w:r w:rsidR="00100F7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PdFe</w:t>
      </w:r>
      <w:proofErr w:type="spellEnd"/>
      <w:r w:rsidR="00100F7E" w:rsidRPr="00100F7E">
        <w:rPr>
          <w:rFonts w:ascii="Times New Roman" w:eastAsia="Times New Roman" w:hAnsi="Times New Roman"/>
          <w:color w:val="000000"/>
          <w:sz w:val="24"/>
          <w:szCs w:val="24"/>
        </w:rPr>
        <w:t xml:space="preserve">10 </w:t>
      </w:r>
      <w:r w:rsidR="00100F7E">
        <w:rPr>
          <w:rFonts w:ascii="Times New Roman" w:eastAsia="Times New Roman" w:hAnsi="Times New Roman"/>
          <w:color w:val="000000"/>
          <w:sz w:val="24"/>
          <w:szCs w:val="24"/>
        </w:rPr>
        <w:t>соответственно.</w:t>
      </w:r>
      <w:r w:rsidR="00AC75EF" w:rsidRPr="004139A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Прекурсоры прокаливали</w:t>
      </w:r>
      <w:r w:rsidR="00AC75EF">
        <w:rPr>
          <w:rFonts w:ascii="Times New Roman" w:eastAsia="Times New Roman" w:hAnsi="Times New Roman"/>
          <w:color w:val="000000"/>
          <w:sz w:val="24"/>
          <w:szCs w:val="24"/>
        </w:rPr>
        <w:t xml:space="preserve"> при 400</w:t>
      </w:r>
      <w:r w:rsidR="00AC75EF" w:rsidRPr="009F149F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о</w:t>
      </w:r>
      <w:r w:rsidR="00AC75EF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 xml:space="preserve"> и восстанавливали </w:t>
      </w:r>
      <w:r w:rsid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</w:t>
      </w:r>
      <w:r w:rsidR="00391A0F" w:rsidRPr="00391A0F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="00391A0F" w:rsidRPr="00391A0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91A0F">
        <w:rPr>
          <w:rFonts w:ascii="Times New Roman" w:eastAsia="Times New Roman" w:hAnsi="Times New Roman"/>
          <w:color w:val="000000"/>
          <w:sz w:val="24"/>
          <w:szCs w:val="24"/>
        </w:rPr>
        <w:t>перед опытом при 30 (в водной суспензии) или 320</w:t>
      </w:r>
      <w:proofErr w:type="spellStart"/>
      <w:r w:rsidR="00391A0F" w:rsidRPr="00EC3A7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/>
        </w:rPr>
        <w:t>o</w:t>
      </w:r>
      <w:r w:rsid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</w:t>
      </w:r>
      <w:proofErr w:type="spellEnd"/>
      <w:r w:rsidR="00AC75E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6478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30CE4" w:rsidRPr="002027D2">
        <w:rPr>
          <w:rFonts w:ascii="Times New Roman" w:eastAsia="Times New Roman" w:hAnsi="Times New Roman"/>
          <w:sz w:val="24"/>
          <w:szCs w:val="24"/>
        </w:rPr>
        <w:t>Реакцию ГДХ осуществляли при 30</w:t>
      </w:r>
      <w:r w:rsidR="00C30CE4" w:rsidRPr="00EC3A7D">
        <w:rPr>
          <w:rFonts w:ascii="Times New Roman" w:eastAsia="Times New Roman" w:hAnsi="Times New Roman"/>
          <w:sz w:val="24"/>
          <w:szCs w:val="24"/>
          <w:vertAlign w:val="superscript"/>
        </w:rPr>
        <w:t>о</w:t>
      </w:r>
      <w:r w:rsidR="00C30CE4" w:rsidRPr="002027D2">
        <w:rPr>
          <w:rFonts w:ascii="Times New Roman" w:eastAsia="Times New Roman" w:hAnsi="Times New Roman"/>
          <w:sz w:val="24"/>
          <w:szCs w:val="24"/>
        </w:rPr>
        <w:t>С в реакторе периодического действия при постоянной подаче H</w:t>
      </w:r>
      <w:r w:rsidR="00C30CE4" w:rsidRPr="00EC3A7D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C30CE4" w:rsidRPr="002027D2">
        <w:rPr>
          <w:rFonts w:ascii="Times New Roman" w:eastAsia="Times New Roman" w:hAnsi="Times New Roman"/>
          <w:sz w:val="24"/>
          <w:szCs w:val="24"/>
        </w:rPr>
        <w:t xml:space="preserve"> (0.6 </w:t>
      </w:r>
      <w:r w:rsidR="00C30CE4">
        <w:rPr>
          <w:rFonts w:ascii="Times New Roman" w:eastAsia="Times New Roman" w:hAnsi="Times New Roman"/>
          <w:sz w:val="24"/>
          <w:szCs w:val="24"/>
        </w:rPr>
        <w:t xml:space="preserve">л/ч), </w:t>
      </w:r>
      <w:r w:rsidR="00C30CE4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="00C30CE4">
        <w:rPr>
          <w:rFonts w:ascii="Times New Roman" w:eastAsia="Times New Roman" w:hAnsi="Times New Roman"/>
          <w:sz w:val="24"/>
          <w:szCs w:val="24"/>
        </w:rPr>
        <w:t>(ДКФ)=150 мг</w:t>
      </w:r>
      <w:r w:rsidR="00C30CE4" w:rsidRPr="00774765">
        <w:rPr>
          <w:rFonts w:ascii="Times New Roman" w:eastAsia="Times New Roman" w:hAnsi="Times New Roman"/>
          <w:sz w:val="24"/>
          <w:szCs w:val="24"/>
        </w:rPr>
        <w:t>/</w:t>
      </w:r>
      <w:r w:rsidR="00C30CE4">
        <w:rPr>
          <w:rFonts w:ascii="Times New Roman" w:eastAsia="Times New Roman" w:hAnsi="Times New Roman"/>
          <w:sz w:val="24"/>
          <w:szCs w:val="24"/>
        </w:rPr>
        <w:t>л,</w:t>
      </w:r>
      <w:r w:rsidR="00C30CE4" w:rsidRPr="00774765">
        <w:rPr>
          <w:rFonts w:ascii="Times New Roman" w:eastAsia="Times New Roman" w:hAnsi="Times New Roman"/>
          <w:sz w:val="24"/>
          <w:szCs w:val="24"/>
        </w:rPr>
        <w:t xml:space="preserve"> </w:t>
      </w:r>
      <w:r w:rsidR="00C30CE4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C30CE4" w:rsidRPr="00774765">
        <w:rPr>
          <w:rFonts w:ascii="Times New Roman" w:eastAsia="Times New Roman" w:hAnsi="Times New Roman"/>
          <w:sz w:val="24"/>
          <w:szCs w:val="24"/>
        </w:rPr>
        <w:t xml:space="preserve">=15 </w:t>
      </w:r>
      <w:r w:rsidR="00C30CE4">
        <w:rPr>
          <w:rFonts w:ascii="Times New Roman" w:eastAsia="Times New Roman" w:hAnsi="Times New Roman"/>
          <w:sz w:val="24"/>
          <w:szCs w:val="24"/>
        </w:rPr>
        <w:t xml:space="preserve">мл, </w:t>
      </w:r>
      <w:r w:rsidR="00C30CE4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="00C30CE4" w:rsidRPr="00774765">
        <w:rPr>
          <w:rFonts w:ascii="Times New Roman" w:eastAsia="Times New Roman" w:hAnsi="Times New Roman"/>
          <w:sz w:val="24"/>
          <w:szCs w:val="24"/>
          <w:vertAlign w:val="subscript"/>
        </w:rPr>
        <w:t>кат</w:t>
      </w:r>
      <w:r w:rsidR="00C30CE4">
        <w:rPr>
          <w:rFonts w:ascii="Times New Roman" w:eastAsia="Times New Roman" w:hAnsi="Times New Roman"/>
          <w:sz w:val="24"/>
          <w:szCs w:val="24"/>
        </w:rPr>
        <w:t>=0,05г.</w:t>
      </w:r>
      <w:r w:rsidR="00C30CE4">
        <w:rPr>
          <w:rFonts w:ascii="Times New Roman" w:eastAsia="Times New Roman" w:hAnsi="Times New Roman"/>
          <w:color w:val="000000"/>
          <w:sz w:val="24"/>
          <w:szCs w:val="24"/>
        </w:rPr>
        <w:t xml:space="preserve"> Содержание продуктов (2-(2-хлоранилино)-</w:t>
      </w:r>
      <w:proofErr w:type="spellStart"/>
      <w:r w:rsidR="00C30CE4">
        <w:rPr>
          <w:rFonts w:ascii="Times New Roman" w:eastAsia="Times New Roman" w:hAnsi="Times New Roman"/>
          <w:color w:val="000000"/>
          <w:sz w:val="24"/>
          <w:szCs w:val="24"/>
        </w:rPr>
        <w:t>фенилацетат</w:t>
      </w:r>
      <w:proofErr w:type="spellEnd"/>
      <w:r w:rsidR="00C30CE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>2-</w:t>
      </w:r>
      <w:r w:rsidR="00C30CE4">
        <w:rPr>
          <w:rFonts w:ascii="Times New Roman" w:eastAsia="Times New Roman" w:hAnsi="Times New Roman"/>
          <w:color w:val="000000"/>
          <w:sz w:val="24"/>
          <w:szCs w:val="24"/>
        </w:rPr>
        <w:t>анилинофенилацетат) анализировали методом ВЭЖХ (</w:t>
      </w:r>
      <w:proofErr w:type="spellStart"/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>Agilent</w:t>
      </w:r>
      <w:proofErr w:type="spellEnd"/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 xml:space="preserve"> 1100, колонка </w:t>
      </w:r>
      <w:proofErr w:type="spellStart"/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>Zorbax</w:t>
      </w:r>
      <w:proofErr w:type="spellEnd"/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 xml:space="preserve"> SB-C18,  35</w:t>
      </w:r>
      <w:r w:rsidR="00C30CE4" w:rsidRPr="0062751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o</w:t>
      </w:r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>C, УФ-детектор</w:t>
      </w:r>
      <w:r w:rsidR="00C30CE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 xml:space="preserve"> 278 нм, </w:t>
      </w:r>
      <w:r w:rsidR="00C30CE4">
        <w:rPr>
          <w:rFonts w:ascii="Times New Roman" w:eastAsia="Times New Roman" w:hAnsi="Times New Roman"/>
          <w:color w:val="000000"/>
          <w:sz w:val="24"/>
          <w:szCs w:val="24"/>
        </w:rPr>
        <w:t>элюент: 0.1М муравьиная кислота</w:t>
      </w:r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 xml:space="preserve"> – ацетонитрил (1:1)</w:t>
      </w:r>
      <w:r w:rsidR="00EB3C4D" w:rsidRPr="00EB3C4D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C30CE4" w:rsidRPr="002C5E6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46ED12F" w14:textId="5181FC0A" w:rsidR="00AC75EF" w:rsidRDefault="00C30CE4" w:rsidP="00100F7E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2027D2">
        <w:rPr>
          <w:rFonts w:ascii="Times New Roman" w:eastAsia="Times New Roman" w:hAnsi="Times New Roman"/>
          <w:color w:val="000000"/>
          <w:sz w:val="24"/>
          <w:szCs w:val="24"/>
        </w:rPr>
        <w:t xml:space="preserve">екстура 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>катализаторов практически не различается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S</w:t>
      </w:r>
      <w:r w:rsidR="002027D2" w:rsidRPr="002027D2">
        <w:rPr>
          <w:rFonts w:ascii="Times New Roman" w:eastAsia="Times New Roman" w:hAnsi="Times New Roman"/>
          <w:sz w:val="24"/>
          <w:szCs w:val="24"/>
          <w:vertAlign w:val="subscript"/>
        </w:rPr>
        <w:t>BET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составляет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165 м</w:t>
      </w:r>
      <w:r w:rsidR="002027D2" w:rsidRPr="002027D2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/г. </w:t>
      </w:r>
      <w:r>
        <w:rPr>
          <w:rFonts w:ascii="Times New Roman" w:eastAsia="Times New Roman" w:hAnsi="Times New Roman"/>
          <w:sz w:val="24"/>
          <w:szCs w:val="24"/>
        </w:rPr>
        <w:t>По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данным СЭМ-ЭДА, Fe и </w:t>
      </w:r>
      <w:proofErr w:type="spellStart"/>
      <w:r w:rsidR="002027D2" w:rsidRPr="002027D2">
        <w:rPr>
          <w:rFonts w:ascii="Times New Roman" w:eastAsia="Times New Roman" w:hAnsi="Times New Roman"/>
          <w:sz w:val="24"/>
          <w:szCs w:val="24"/>
        </w:rPr>
        <w:t>Pd</w:t>
      </w:r>
      <w:proofErr w:type="spellEnd"/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равномерно распределены по поверхност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обоих катализатор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>.</w:t>
      </w:r>
      <w:r w:rsidR="0064788B">
        <w:rPr>
          <w:rFonts w:ascii="Times New Roman" w:eastAsia="Times New Roman" w:hAnsi="Times New Roman"/>
          <w:sz w:val="24"/>
          <w:szCs w:val="24"/>
        </w:rPr>
        <w:t xml:space="preserve"> </w:t>
      </w:r>
      <w:r w:rsidR="0064788B" w:rsidRPr="0064788B">
        <w:rPr>
          <w:rFonts w:ascii="Times New Roman" w:eastAsia="Times New Roman" w:hAnsi="Times New Roman"/>
          <w:sz w:val="24"/>
          <w:szCs w:val="24"/>
        </w:rPr>
        <w:t xml:space="preserve">На </w:t>
      </w:r>
      <w:proofErr w:type="spellStart"/>
      <w:r w:rsidR="0064788B" w:rsidRPr="0064788B">
        <w:rPr>
          <w:rFonts w:ascii="Times New Roman" w:eastAsia="Times New Roman" w:hAnsi="Times New Roman"/>
          <w:sz w:val="24"/>
          <w:szCs w:val="24"/>
        </w:rPr>
        <w:t>дифрактограммах</w:t>
      </w:r>
      <w:proofErr w:type="spellEnd"/>
      <w:r w:rsidR="0064788B" w:rsidRPr="0064788B">
        <w:rPr>
          <w:rFonts w:ascii="Times New Roman" w:eastAsia="Times New Roman" w:hAnsi="Times New Roman"/>
          <w:sz w:val="24"/>
          <w:szCs w:val="24"/>
        </w:rPr>
        <w:t xml:space="preserve"> видны </w:t>
      </w:r>
      <w:r>
        <w:rPr>
          <w:rFonts w:ascii="Times New Roman" w:eastAsia="Times New Roman" w:hAnsi="Times New Roman"/>
          <w:sz w:val="24"/>
          <w:szCs w:val="24"/>
        </w:rPr>
        <w:t>рефлексы</w:t>
      </w:r>
      <w:r w:rsidR="0064788B" w:rsidRPr="0064788B">
        <w:rPr>
          <w:rFonts w:ascii="Times New Roman" w:eastAsia="Times New Roman" w:hAnsi="Times New Roman"/>
          <w:sz w:val="24"/>
          <w:szCs w:val="24"/>
        </w:rPr>
        <w:t xml:space="preserve"> </w:t>
      </w:r>
      <w:r w:rsidR="0064788B" w:rsidRPr="0064788B">
        <w:rPr>
          <w:rFonts w:ascii="Times New Roman" w:eastAsia="Times New Roman" w:hAnsi="Times New Roman"/>
          <w:sz w:val="24"/>
          <w:szCs w:val="24"/>
          <w:lang w:val="en-US"/>
        </w:rPr>
        <w:t>Al</w:t>
      </w:r>
      <w:r w:rsidR="0064788B" w:rsidRPr="0064788B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64788B" w:rsidRPr="0064788B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="0064788B" w:rsidRPr="0064788B"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 w:rsidR="0064788B" w:rsidRPr="0064788B"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/>
          <w:sz w:val="24"/>
          <w:szCs w:val="24"/>
        </w:rPr>
        <w:t xml:space="preserve">слабые пики </w:t>
      </w:r>
      <w:r w:rsidR="0064788B" w:rsidRPr="0064788B">
        <w:rPr>
          <w:rFonts w:ascii="Times New Roman" w:eastAsia="Times New Roman" w:hAnsi="Times New Roman"/>
          <w:sz w:val="24"/>
          <w:szCs w:val="24"/>
        </w:rPr>
        <w:t>оксидов железа</w:t>
      </w:r>
      <w:r>
        <w:rPr>
          <w:rFonts w:ascii="Times New Roman" w:eastAsia="Times New Roman" w:hAnsi="Times New Roman"/>
          <w:sz w:val="24"/>
          <w:szCs w:val="24"/>
        </w:rPr>
        <w:t xml:space="preserve">, т.е. дисперсность </w:t>
      </w:r>
      <w:r>
        <w:rPr>
          <w:rFonts w:ascii="Times New Roman" w:eastAsia="Times New Roman" w:hAnsi="Times New Roman"/>
          <w:sz w:val="24"/>
          <w:szCs w:val="24"/>
          <w:lang w:val="en-US"/>
        </w:rPr>
        <w:t>Pd</w:t>
      </w:r>
      <w:r w:rsidRPr="00C30CE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очень высокая, </w:t>
      </w:r>
      <w:r w:rsidR="009D5A4D">
        <w:rPr>
          <w:rFonts w:ascii="Times New Roman" w:eastAsia="Times New Roman" w:hAnsi="Times New Roman"/>
          <w:sz w:val="24"/>
          <w:szCs w:val="24"/>
        </w:rPr>
        <w:t xml:space="preserve">что подтверждается методом ПЭМ, </w:t>
      </w:r>
      <w:r>
        <w:rPr>
          <w:rFonts w:ascii="Times New Roman" w:eastAsia="Times New Roman" w:hAnsi="Times New Roman"/>
          <w:sz w:val="24"/>
          <w:szCs w:val="24"/>
        </w:rPr>
        <w:t xml:space="preserve">а дисперсность </w:t>
      </w:r>
      <w:r>
        <w:rPr>
          <w:rFonts w:ascii="Times New Roman" w:eastAsia="Times New Roman" w:hAnsi="Times New Roman"/>
          <w:sz w:val="24"/>
          <w:szCs w:val="24"/>
          <w:lang w:val="en-US"/>
        </w:rPr>
        <w:t>Fe</w:t>
      </w:r>
      <w:r w:rsidRPr="00C30CE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выше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Pr="00C30CE4">
        <w:rPr>
          <w:rFonts w:ascii="Times New Roman" w:eastAsia="Times New Roman" w:hAnsi="Times New Roman"/>
          <w:sz w:val="24"/>
          <w:szCs w:val="24"/>
        </w:rPr>
        <w:t>10</w:t>
      </w:r>
      <w:r w:rsidR="0064788B" w:rsidRPr="0064788B">
        <w:rPr>
          <w:rFonts w:ascii="Times New Roman" w:eastAsia="Times New Roman" w:hAnsi="Times New Roman"/>
          <w:sz w:val="24"/>
          <w:szCs w:val="24"/>
        </w:rPr>
        <w:t>.</w:t>
      </w:r>
      <w:r w:rsidRPr="00C30CE4">
        <w:rPr>
          <w:rFonts w:ascii="Times New Roman" w:eastAsia="Times New Roman" w:hAnsi="Times New Roman"/>
          <w:sz w:val="24"/>
          <w:szCs w:val="24"/>
        </w:rPr>
        <w:t xml:space="preserve"> 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>На профил</w:t>
      </w:r>
      <w:r w:rsidR="00D923C1">
        <w:rPr>
          <w:rFonts w:ascii="Times New Roman" w:eastAsia="Times New Roman" w:hAnsi="Times New Roman"/>
          <w:sz w:val="24"/>
          <w:szCs w:val="24"/>
        </w:rPr>
        <w:t>е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ТПВ </w:t>
      </w:r>
      <w:proofErr w:type="spellStart"/>
      <w:r w:rsidR="00907C30"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="00907C30">
        <w:rPr>
          <w:rFonts w:ascii="Times New Roman" w:eastAsia="Times New Roman" w:hAnsi="Times New Roman"/>
          <w:sz w:val="24"/>
          <w:szCs w:val="24"/>
        </w:rPr>
        <w:t>0</w:t>
      </w:r>
      <w:r w:rsidR="00100F7E">
        <w:rPr>
          <w:rFonts w:ascii="Times New Roman" w:eastAsia="Times New Roman" w:hAnsi="Times New Roman"/>
          <w:sz w:val="24"/>
          <w:szCs w:val="24"/>
        </w:rPr>
        <w:t>,5</w:t>
      </w:r>
      <w:r w:rsidR="00907C30">
        <w:rPr>
          <w:rFonts w:ascii="Times New Roman" w:eastAsia="Times New Roman" w:hAnsi="Times New Roman"/>
          <w:sz w:val="24"/>
          <w:szCs w:val="24"/>
        </w:rPr>
        <w:t xml:space="preserve"> 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>наблюдается пик выделения Н</w:t>
      </w:r>
      <w:r w:rsidR="002027D2" w:rsidRPr="008536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при 60</w:t>
      </w:r>
      <w:r w:rsidR="002027D2" w:rsidRPr="00D923C1">
        <w:rPr>
          <w:rFonts w:ascii="Times New Roman" w:eastAsia="Times New Roman" w:hAnsi="Times New Roman"/>
          <w:sz w:val="24"/>
          <w:szCs w:val="24"/>
          <w:vertAlign w:val="superscript"/>
        </w:rPr>
        <w:t>о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С, связанный с разложением </w:t>
      </w:r>
      <w:proofErr w:type="spellStart"/>
      <w:r w:rsidR="002027D2" w:rsidRPr="002027D2">
        <w:rPr>
          <w:rFonts w:ascii="Times New Roman" w:eastAsia="Times New Roman" w:hAnsi="Times New Roman"/>
          <w:sz w:val="24"/>
          <w:szCs w:val="24"/>
        </w:rPr>
        <w:t>PdH</w:t>
      </w:r>
      <w:r w:rsidR="002027D2" w:rsidRPr="0064788B">
        <w:rPr>
          <w:rFonts w:ascii="Times New Roman" w:eastAsia="Times New Roman" w:hAnsi="Times New Roman"/>
          <w:sz w:val="24"/>
          <w:szCs w:val="24"/>
          <w:vertAlign w:val="subscript"/>
        </w:rPr>
        <w:t>x</w:t>
      </w:r>
      <w:proofErr w:type="spellEnd"/>
      <w:r w:rsidR="00D923C1">
        <w:rPr>
          <w:rFonts w:ascii="Times New Roman" w:eastAsia="Times New Roman" w:hAnsi="Times New Roman"/>
          <w:sz w:val="24"/>
          <w:szCs w:val="24"/>
        </w:rPr>
        <w:t xml:space="preserve">, </w:t>
      </w:r>
      <w:r w:rsidR="009D5A4D">
        <w:rPr>
          <w:rFonts w:ascii="Times New Roman" w:eastAsia="Times New Roman" w:hAnsi="Times New Roman"/>
          <w:sz w:val="24"/>
          <w:szCs w:val="24"/>
        </w:rPr>
        <w:t>которого нет</w:t>
      </w:r>
      <w:r w:rsidR="00D923C1">
        <w:rPr>
          <w:rFonts w:ascii="Times New Roman" w:eastAsia="Times New Roman" w:hAnsi="Times New Roman"/>
          <w:sz w:val="24"/>
          <w:szCs w:val="24"/>
        </w:rPr>
        <w:t xml:space="preserve"> на профиле </w:t>
      </w:r>
      <w:proofErr w:type="spellStart"/>
      <w:r w:rsidR="00907C30"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="00907C30" w:rsidRPr="00C30CE4">
        <w:rPr>
          <w:rFonts w:ascii="Times New Roman" w:eastAsia="Times New Roman" w:hAnsi="Times New Roman"/>
          <w:sz w:val="24"/>
          <w:szCs w:val="24"/>
        </w:rPr>
        <w:t>10</w:t>
      </w:r>
      <w:r w:rsidR="00D923C1">
        <w:rPr>
          <w:rFonts w:ascii="Times New Roman" w:eastAsia="Times New Roman" w:hAnsi="Times New Roman"/>
          <w:sz w:val="24"/>
          <w:szCs w:val="24"/>
        </w:rPr>
        <w:t>.</w:t>
      </w:r>
      <w:r w:rsidR="002027D2" w:rsidRPr="002027D2">
        <w:rPr>
          <w:rFonts w:ascii="Times New Roman" w:eastAsia="Times New Roman" w:hAnsi="Times New Roman"/>
          <w:sz w:val="24"/>
          <w:szCs w:val="24"/>
        </w:rPr>
        <w:t xml:space="preserve"> </w:t>
      </w:r>
      <w:r w:rsidR="009D5A4D">
        <w:rPr>
          <w:rFonts w:ascii="Times New Roman" w:eastAsia="Times New Roman" w:hAnsi="Times New Roman"/>
          <w:sz w:val="24"/>
          <w:szCs w:val="24"/>
        </w:rPr>
        <w:t xml:space="preserve">Это говорит о возможности восстановления </w:t>
      </w:r>
      <w:proofErr w:type="spellStart"/>
      <w:r w:rsidR="009D5A4D">
        <w:rPr>
          <w:rFonts w:ascii="Times New Roman" w:eastAsia="Times New Roman" w:hAnsi="Times New Roman"/>
          <w:sz w:val="24"/>
          <w:szCs w:val="24"/>
          <w:lang w:val="en-US"/>
        </w:rPr>
        <w:t>PdO</w:t>
      </w:r>
      <w:proofErr w:type="spellEnd"/>
      <w:r w:rsidR="009D5A4D" w:rsidRPr="009D5A4D">
        <w:rPr>
          <w:rFonts w:ascii="Times New Roman" w:eastAsia="Times New Roman" w:hAnsi="Times New Roman"/>
          <w:sz w:val="24"/>
          <w:szCs w:val="24"/>
        </w:rPr>
        <w:t xml:space="preserve"> </w:t>
      </w:r>
      <w:r w:rsidR="009D5A4D">
        <w:rPr>
          <w:rFonts w:ascii="Times New Roman" w:eastAsia="Times New Roman" w:hAnsi="Times New Roman"/>
          <w:sz w:val="24"/>
          <w:szCs w:val="24"/>
        </w:rPr>
        <w:t xml:space="preserve">в мягких условиях. </w:t>
      </w:r>
      <w:r w:rsidR="002819D0" w:rsidRPr="002819D0">
        <w:rPr>
          <w:rFonts w:ascii="Times New Roman" w:eastAsia="Times New Roman" w:hAnsi="Times New Roman"/>
          <w:sz w:val="24"/>
          <w:szCs w:val="24"/>
        </w:rPr>
        <w:t xml:space="preserve"> </w:t>
      </w:r>
      <w:r w:rsidR="009D5A4D">
        <w:rPr>
          <w:rFonts w:ascii="Times New Roman" w:eastAsia="Times New Roman" w:hAnsi="Times New Roman"/>
          <w:sz w:val="24"/>
          <w:szCs w:val="24"/>
        </w:rPr>
        <w:t xml:space="preserve">Методом РФЭС показано, что </w:t>
      </w:r>
      <w:r w:rsidR="00100F7E">
        <w:rPr>
          <w:rFonts w:ascii="Times New Roman" w:eastAsia="Times New Roman" w:hAnsi="Times New Roman"/>
          <w:sz w:val="24"/>
          <w:szCs w:val="24"/>
        </w:rPr>
        <w:t>после восстановления при 30</w:t>
      </w:r>
      <w:r w:rsidR="00100F7E" w:rsidRPr="00100F7E">
        <w:rPr>
          <w:rFonts w:ascii="Times New Roman" w:eastAsia="Times New Roman" w:hAnsi="Times New Roman"/>
          <w:sz w:val="24"/>
          <w:szCs w:val="24"/>
          <w:vertAlign w:val="superscript"/>
        </w:rPr>
        <w:t>о</w:t>
      </w:r>
      <w:r w:rsidR="00100F7E">
        <w:rPr>
          <w:rFonts w:ascii="Times New Roman" w:eastAsia="Times New Roman" w:hAnsi="Times New Roman"/>
          <w:sz w:val="24"/>
          <w:szCs w:val="24"/>
        </w:rPr>
        <w:t xml:space="preserve">С содержание </w:t>
      </w:r>
      <w:r w:rsidR="00100F7E">
        <w:rPr>
          <w:rFonts w:ascii="Times New Roman" w:eastAsia="Times New Roman" w:hAnsi="Times New Roman"/>
          <w:sz w:val="24"/>
          <w:szCs w:val="24"/>
          <w:lang w:val="en-US"/>
        </w:rPr>
        <w:t>Pd</w:t>
      </w:r>
      <w:r w:rsidR="00100F7E" w:rsidRPr="00100F7E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 xml:space="preserve"> </w:t>
      </w:r>
      <w:r w:rsidR="00100F7E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="00100F7E"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="00100F7E">
        <w:rPr>
          <w:rFonts w:ascii="Times New Roman" w:eastAsia="Times New Roman" w:hAnsi="Times New Roman"/>
          <w:sz w:val="24"/>
          <w:szCs w:val="24"/>
        </w:rPr>
        <w:t xml:space="preserve">0,5 – 20%, в </w:t>
      </w:r>
      <w:proofErr w:type="spellStart"/>
      <w:r w:rsidR="00100F7E"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="00100F7E">
        <w:rPr>
          <w:rFonts w:ascii="Times New Roman" w:eastAsia="Times New Roman" w:hAnsi="Times New Roman"/>
          <w:sz w:val="24"/>
          <w:szCs w:val="24"/>
        </w:rPr>
        <w:t>10 – 48%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 xml:space="preserve">; </w:t>
      </w:r>
      <w:r w:rsidR="00100F7E">
        <w:rPr>
          <w:rFonts w:ascii="Times New Roman" w:eastAsia="Times New Roman" w:hAnsi="Times New Roman"/>
          <w:sz w:val="24"/>
          <w:szCs w:val="24"/>
        </w:rPr>
        <w:t>после восстановления при 320</w:t>
      </w:r>
      <w:r w:rsidR="00100F7E" w:rsidRPr="00100F7E">
        <w:rPr>
          <w:rFonts w:ascii="Times New Roman" w:eastAsia="Times New Roman" w:hAnsi="Times New Roman"/>
          <w:sz w:val="24"/>
          <w:szCs w:val="24"/>
          <w:vertAlign w:val="superscript"/>
        </w:rPr>
        <w:t>о</w:t>
      </w:r>
      <w:r w:rsidR="00100F7E">
        <w:rPr>
          <w:rFonts w:ascii="Times New Roman" w:eastAsia="Times New Roman" w:hAnsi="Times New Roman"/>
          <w:sz w:val="24"/>
          <w:szCs w:val="24"/>
        </w:rPr>
        <w:t>С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 xml:space="preserve"> </w:t>
      </w:r>
      <w:r w:rsidR="00100F7E">
        <w:rPr>
          <w:rFonts w:ascii="Times New Roman" w:eastAsia="Times New Roman" w:hAnsi="Times New Roman"/>
          <w:sz w:val="24"/>
          <w:szCs w:val="24"/>
        </w:rPr>
        <w:t xml:space="preserve">содержание </w:t>
      </w:r>
      <w:r w:rsidR="00100F7E">
        <w:rPr>
          <w:rFonts w:ascii="Times New Roman" w:eastAsia="Times New Roman" w:hAnsi="Times New Roman"/>
          <w:sz w:val="24"/>
          <w:szCs w:val="24"/>
          <w:lang w:val="en-US"/>
        </w:rPr>
        <w:t>Pd</w:t>
      </w:r>
      <w:r w:rsidR="00100F7E" w:rsidRPr="00100F7E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 xml:space="preserve"> </w:t>
      </w:r>
      <w:r w:rsidR="00100F7E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="00100F7E"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="00100F7E">
        <w:rPr>
          <w:rFonts w:ascii="Times New Roman" w:eastAsia="Times New Roman" w:hAnsi="Times New Roman"/>
          <w:sz w:val="24"/>
          <w:szCs w:val="24"/>
        </w:rPr>
        <w:t xml:space="preserve">0,5 – 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>88</w:t>
      </w:r>
      <w:r w:rsidR="00100F7E">
        <w:rPr>
          <w:rFonts w:ascii="Times New Roman" w:eastAsia="Times New Roman" w:hAnsi="Times New Roman"/>
          <w:sz w:val="24"/>
          <w:szCs w:val="24"/>
        </w:rPr>
        <w:t xml:space="preserve">%, в </w:t>
      </w:r>
      <w:proofErr w:type="spellStart"/>
      <w:r w:rsidR="00100F7E"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 w:rsidR="00100F7E">
        <w:rPr>
          <w:rFonts w:ascii="Times New Roman" w:eastAsia="Times New Roman" w:hAnsi="Times New Roman"/>
          <w:sz w:val="24"/>
          <w:szCs w:val="24"/>
        </w:rPr>
        <w:t xml:space="preserve">10 – 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>100</w:t>
      </w:r>
      <w:r w:rsidR="00100F7E">
        <w:rPr>
          <w:rFonts w:ascii="Times New Roman" w:eastAsia="Times New Roman" w:hAnsi="Times New Roman"/>
          <w:sz w:val="24"/>
          <w:szCs w:val="24"/>
        </w:rPr>
        <w:t>%</w:t>
      </w:r>
      <w:r w:rsidR="00100F7E" w:rsidRPr="00100F7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2AEE4F4" w14:textId="2C84AA6D" w:rsidR="00B603BF" w:rsidRDefault="00B603BF" w:rsidP="00B603BF">
      <w:pPr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08F68CA" wp14:editId="7719E343">
            <wp:extent cx="3101340" cy="1859280"/>
            <wp:effectExtent l="0" t="0" r="3810" b="762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9F41921-A200-D9E3-C36E-A5409A4A43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88AF10F" w14:textId="2409B02F" w:rsidR="00B603BF" w:rsidRDefault="00B603BF" w:rsidP="00B603BF">
      <w:pPr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</w:rPr>
      </w:pPr>
      <w:r w:rsidRPr="00EB370F">
        <w:rPr>
          <w:rFonts w:ascii="Times New Roman" w:hAnsi="Times New Roman"/>
          <w:sz w:val="24"/>
          <w:szCs w:val="24"/>
        </w:rPr>
        <w:t>Рис. 1.</w:t>
      </w:r>
      <w:r w:rsidRPr="00EB370F">
        <w:rPr>
          <w:rFonts w:ascii="Times New Roman" w:eastAsia="Times New Roman" w:hAnsi="Times New Roman"/>
          <w:sz w:val="24"/>
          <w:szCs w:val="24"/>
        </w:rPr>
        <w:t xml:space="preserve"> ГДХ</w:t>
      </w:r>
      <w:r>
        <w:rPr>
          <w:rFonts w:ascii="Times New Roman" w:eastAsia="Times New Roman" w:hAnsi="Times New Roman"/>
          <w:sz w:val="24"/>
          <w:szCs w:val="24"/>
        </w:rPr>
        <w:t xml:space="preserve"> ДКФ</w:t>
      </w:r>
      <w:r w:rsidRPr="00EB370F">
        <w:rPr>
          <w:rFonts w:ascii="Times New Roman" w:eastAsia="Times New Roman" w:hAnsi="Times New Roman"/>
          <w:sz w:val="24"/>
          <w:szCs w:val="24"/>
        </w:rPr>
        <w:t xml:space="preserve"> при 30</w:t>
      </w:r>
      <w:r w:rsidRPr="00EB370F">
        <w:rPr>
          <w:rFonts w:ascii="Times New Roman" w:eastAsia="Times New Roman" w:hAnsi="Times New Roman"/>
          <w:sz w:val="24"/>
          <w:szCs w:val="24"/>
          <w:vertAlign w:val="superscript"/>
        </w:rPr>
        <w:t>о</w:t>
      </w:r>
      <w:r w:rsidRPr="00EB370F">
        <w:rPr>
          <w:rFonts w:ascii="Times New Roman" w:eastAsia="Times New Roman" w:hAnsi="Times New Roman"/>
          <w:sz w:val="24"/>
          <w:szCs w:val="24"/>
        </w:rPr>
        <w:t>С</w:t>
      </w:r>
    </w:p>
    <w:p w14:paraId="22B8BB71" w14:textId="75B0C9A1" w:rsidR="00B603BF" w:rsidRDefault="00B603BF" w:rsidP="002C3E1A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370F">
        <w:rPr>
          <w:rFonts w:ascii="Times New Roman" w:eastAsia="Times New Roman" w:hAnsi="Times New Roman"/>
          <w:color w:val="000000"/>
          <w:sz w:val="24"/>
          <w:szCs w:val="24"/>
        </w:rPr>
        <w:t>Как видно из рис. 1,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после восстановления при 30</w:t>
      </w:r>
      <w:r w:rsidRPr="00EB3C4D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 эффективнее работает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PdFe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10 за счет более высокого содержания </w:t>
      </w:r>
      <w:r>
        <w:rPr>
          <w:rFonts w:ascii="Times New Roman" w:eastAsia="Times New Roman" w:hAnsi="Times New Roman"/>
          <w:sz w:val="24"/>
          <w:szCs w:val="24"/>
          <w:lang w:val="en-US"/>
        </w:rPr>
        <w:t>Pd</w:t>
      </w:r>
      <w:r w:rsidRPr="00EB3C4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77476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после обработки при 320</w:t>
      </w:r>
      <w:r w:rsidRPr="0077476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С активности катализаторов сравнимы.  Восстановление в жестких условиях повышает активность обоих катализаторов</w:t>
      </w:r>
      <w:r w:rsidRPr="00EB3C4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Полученные данные демонстрируют, что содержание железа в биметаллических катализаторах влияет на способность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Pd</w:t>
      </w:r>
      <w:r w:rsidRPr="00EB3C4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 восстановлению.</w:t>
      </w:r>
    </w:p>
    <w:p w14:paraId="1A341775" w14:textId="44CDA64F" w:rsidR="00B603BF" w:rsidRDefault="00B603BF" w:rsidP="000C2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39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A80CC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Авторы выражают благодарность Программе развития МГУ. </w:t>
      </w:r>
    </w:p>
    <w:p w14:paraId="517257F7" w14:textId="77777777" w:rsidR="00B603BF" w:rsidRPr="00171165" w:rsidRDefault="00B603BF" w:rsidP="00B60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Литература</w:t>
      </w:r>
    </w:p>
    <w:p w14:paraId="638561B5" w14:textId="1832C79D" w:rsidR="000C24FB" w:rsidRDefault="00B603BF" w:rsidP="00B603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1. J.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Li</w:t>
      </w:r>
      <w:r w:rsidR="00171165" w:rsidRP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W. Cheng, L. Xu, Y. </w:t>
      </w:r>
      <w:proofErr w:type="spellStart"/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Jaio</w:t>
      </w:r>
      <w:proofErr w:type="spellEnd"/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S. A. </w:t>
      </w:r>
      <w:proofErr w:type="spellStart"/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Baig</w:t>
      </w:r>
      <w:proofErr w:type="spellEnd"/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H. Chen.</w:t>
      </w:r>
      <w:r w:rsidRP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Occurrence and removal of antibiotics and the corresponding resistance genes in wastewater treatment plants: effluents’ influence to downstream water environment // Environ. Sci. </w:t>
      </w:r>
      <w:proofErr w:type="spellStart"/>
      <w:r w:rsidRP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Pollut</w:t>
      </w:r>
      <w:proofErr w:type="spellEnd"/>
      <w:r w:rsidRP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Res. 2016. Vol. 23. P. 6826–6835. </w:t>
      </w:r>
    </w:p>
    <w:p w14:paraId="3E9DC34C" w14:textId="7DC8A933" w:rsidR="00B603BF" w:rsidRPr="000C24FB" w:rsidRDefault="000C24FB" w:rsidP="00FD32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2</w:t>
      </w:r>
      <w:r w:rsidR="00B603BF" w:rsidRPr="00391A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="00B603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Nieto-Sandoval, M.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Munoz, Z.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 Pedro, J.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A.</w:t>
      </w:r>
      <w:r w:rsidR="001711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Casas. Application of catalytic </w:t>
      </w:r>
      <w:proofErr w:type="spellStart"/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hydrodehalogenation</w:t>
      </w:r>
      <w:proofErr w:type="spellEnd"/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drinking water treatment for </w:t>
      </w:r>
      <w:proofErr w:type="spellStart"/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organohalogenated</w:t>
      </w:r>
      <w:proofErr w:type="spellEnd"/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micropollutants removal: A review</w:t>
      </w:r>
      <w:r w:rsidR="00B603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/</w:t>
      </w:r>
      <w:r w:rsidR="00B603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/ J. Hazard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="00B603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Mater.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2022. V</w:t>
      </w:r>
      <w:r w:rsidR="00B603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ol</w:t>
      </w:r>
      <w:r w:rsidR="00B603BF" w:rsidRPr="00E765E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5.</w:t>
      </w:r>
      <w:bookmarkEnd w:id="0"/>
    </w:p>
    <w:sectPr w:rsidR="00B603BF" w:rsidRPr="000C24FB" w:rsidSect="00BD5D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542"/>
    <w:multiLevelType w:val="hybridMultilevel"/>
    <w:tmpl w:val="EC16C068"/>
    <w:lvl w:ilvl="0" w:tplc="A9A478C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44E42D4"/>
    <w:multiLevelType w:val="hybridMultilevel"/>
    <w:tmpl w:val="FD9859C2"/>
    <w:lvl w:ilvl="0" w:tplc="CC24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FEE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CB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26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6D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2F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1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A5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2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7040819">
    <w:abstractNumId w:val="0"/>
  </w:num>
  <w:num w:numId="2" w16cid:durableId="78291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B9"/>
    <w:rsid w:val="000155D6"/>
    <w:rsid w:val="00032139"/>
    <w:rsid w:val="00085FA2"/>
    <w:rsid w:val="000C24FB"/>
    <w:rsid w:val="000D36AE"/>
    <w:rsid w:val="00100F7E"/>
    <w:rsid w:val="001415CA"/>
    <w:rsid w:val="001439B1"/>
    <w:rsid w:val="00171165"/>
    <w:rsid w:val="002027D2"/>
    <w:rsid w:val="00247386"/>
    <w:rsid w:val="002819D0"/>
    <w:rsid w:val="002C2D35"/>
    <w:rsid w:val="002C3E1A"/>
    <w:rsid w:val="00391A0F"/>
    <w:rsid w:val="003A4C21"/>
    <w:rsid w:val="003E58B9"/>
    <w:rsid w:val="003E79A6"/>
    <w:rsid w:val="0064788B"/>
    <w:rsid w:val="00774765"/>
    <w:rsid w:val="007C2F5B"/>
    <w:rsid w:val="00846FF5"/>
    <w:rsid w:val="00853004"/>
    <w:rsid w:val="00853680"/>
    <w:rsid w:val="00873FD3"/>
    <w:rsid w:val="008A3586"/>
    <w:rsid w:val="00907C30"/>
    <w:rsid w:val="009D5A4D"/>
    <w:rsid w:val="00AC75EF"/>
    <w:rsid w:val="00B401BD"/>
    <w:rsid w:val="00B603BF"/>
    <w:rsid w:val="00BA377F"/>
    <w:rsid w:val="00BF6C5C"/>
    <w:rsid w:val="00C30CE4"/>
    <w:rsid w:val="00CC4D15"/>
    <w:rsid w:val="00CF3313"/>
    <w:rsid w:val="00D923C1"/>
    <w:rsid w:val="00DA66C6"/>
    <w:rsid w:val="00E765EB"/>
    <w:rsid w:val="00EB3C4D"/>
    <w:rsid w:val="00EC3A7D"/>
    <w:rsid w:val="00EF6D9B"/>
    <w:rsid w:val="00F60FD2"/>
    <w:rsid w:val="00F66C5F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E965"/>
  <w15:chartTrackingRefBased/>
  <w15:docId w15:val="{E6CA2C0D-3C55-4BA1-A76E-5AE0FD9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5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F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5FA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3E7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73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hail%20Pesotskiy\Desktop\&#1050;&#1072;&#1090;&#1072;&#1083;&#1080;&#1079;&#1072;&#1090;&#1086;&#1088;%2010%20Fe\&#1050;&#1072;&#1090;&#1072;&#1083;&#1080;&#107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05037894853306"/>
          <c:y val="5.0925925925925923E-2"/>
          <c:w val="0.80818381308893761"/>
          <c:h val="0.85549431321084868"/>
        </c:manualLayout>
      </c:layout>
      <c:scatterChart>
        <c:scatterStyle val="lineMarker"/>
        <c:varyColors val="0"/>
        <c:ser>
          <c:idx val="0"/>
          <c:order val="0"/>
          <c:tx>
            <c:v>PdFe0,5 (30)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Лист3!$I$22:$I$34</c:f>
              <c:numCache>
                <c:formatCode>General</c:formatCode>
                <c:ptCount val="13"/>
                <c:pt idx="0">
                  <c:v>2</c:v>
                </c:pt>
                <c:pt idx="1">
                  <c:v>4.33</c:v>
                </c:pt>
                <c:pt idx="2">
                  <c:v>6.33</c:v>
                </c:pt>
                <c:pt idx="3">
                  <c:v>8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31</c:v>
                </c:pt>
                <c:pt idx="9">
                  <c:v>45</c:v>
                </c:pt>
                <c:pt idx="10">
                  <c:v>60</c:v>
                </c:pt>
                <c:pt idx="11">
                  <c:v>80</c:v>
                </c:pt>
                <c:pt idx="12">
                  <c:v>100</c:v>
                </c:pt>
              </c:numCache>
            </c:numRef>
          </c:xVal>
          <c:yVal>
            <c:numRef>
              <c:f>Лист3!$M$22:$M$34</c:f>
              <c:numCache>
                <c:formatCode>General</c:formatCode>
                <c:ptCount val="13"/>
                <c:pt idx="0">
                  <c:v>99.3</c:v>
                </c:pt>
                <c:pt idx="1">
                  <c:v>94.6</c:v>
                </c:pt>
                <c:pt idx="2">
                  <c:v>86.9</c:v>
                </c:pt>
                <c:pt idx="3">
                  <c:v>82.7</c:v>
                </c:pt>
                <c:pt idx="4">
                  <c:v>71.900000000000006</c:v>
                </c:pt>
                <c:pt idx="5">
                  <c:v>62.7</c:v>
                </c:pt>
                <c:pt idx="6">
                  <c:v>58.7</c:v>
                </c:pt>
                <c:pt idx="7">
                  <c:v>53.8</c:v>
                </c:pt>
                <c:pt idx="8">
                  <c:v>43.2</c:v>
                </c:pt>
                <c:pt idx="9">
                  <c:v>25.5</c:v>
                </c:pt>
                <c:pt idx="10">
                  <c:v>20.6</c:v>
                </c:pt>
                <c:pt idx="11">
                  <c:v>13</c:v>
                </c:pt>
                <c:pt idx="12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47-4398-AA10-84985A602677}"/>
            </c:ext>
          </c:extLst>
        </c:ser>
        <c:ser>
          <c:idx val="2"/>
          <c:order val="1"/>
          <c:tx>
            <c:v>PdFe10 (30)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19050">
                <a:solidFill>
                  <a:schemeClr val="accent2"/>
                </a:solidFill>
              </a:ln>
              <a:effectLst/>
            </c:spPr>
          </c:marker>
          <c:xVal>
            <c:numRef>
              <c:f>Лист3!$A$24:$A$36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</c:numCache>
            </c:numRef>
          </c:xVal>
          <c:yVal>
            <c:numRef>
              <c:f>Лист3!$D$24:$D$36</c:f>
              <c:numCache>
                <c:formatCode>0.0</c:formatCode>
                <c:ptCount val="13"/>
                <c:pt idx="0">
                  <c:v>88.1</c:v>
                </c:pt>
                <c:pt idx="1">
                  <c:v>82.8</c:v>
                </c:pt>
                <c:pt idx="2">
                  <c:v>66.7</c:v>
                </c:pt>
                <c:pt idx="3">
                  <c:v>51.5</c:v>
                </c:pt>
                <c:pt idx="4">
                  <c:v>32.9</c:v>
                </c:pt>
                <c:pt idx="5">
                  <c:v>20.100000000000001</c:v>
                </c:pt>
                <c:pt idx="6">
                  <c:v>14.7</c:v>
                </c:pt>
                <c:pt idx="7">
                  <c:v>11.4</c:v>
                </c:pt>
                <c:pt idx="8">
                  <c:v>5.8</c:v>
                </c:pt>
                <c:pt idx="9">
                  <c:v>5.8</c:v>
                </c:pt>
                <c:pt idx="10">
                  <c:v>4.2</c:v>
                </c:pt>
                <c:pt idx="11">
                  <c:v>3.4</c:v>
                </c:pt>
                <c:pt idx="12">
                  <c:v>2.5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47-4398-AA10-84985A602677}"/>
            </c:ext>
          </c:extLst>
        </c:ser>
        <c:ser>
          <c:idx val="1"/>
          <c:order val="2"/>
          <c:tx>
            <c:v>PdFe0,5 (320)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6"/>
            <c:spPr>
              <a:noFill/>
              <a:ln w="19050">
                <a:solidFill>
                  <a:schemeClr val="accent1"/>
                </a:solidFill>
              </a:ln>
              <a:effectLst/>
            </c:spPr>
          </c:marker>
          <c:xVal>
            <c:numRef>
              <c:f>Лист3!$H$4:$H$12</c:f>
              <c:numCache>
                <c:formatCode>General</c:formatCode>
                <c:ptCount val="9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</c:numCache>
            </c:numRef>
          </c:xVal>
          <c:yVal>
            <c:numRef>
              <c:f>Лист3!$L$4:$L$12</c:f>
              <c:numCache>
                <c:formatCode>General</c:formatCode>
                <c:ptCount val="9"/>
                <c:pt idx="0">
                  <c:v>98.1</c:v>
                </c:pt>
                <c:pt idx="1">
                  <c:v>97.8</c:v>
                </c:pt>
                <c:pt idx="2">
                  <c:v>96.3</c:v>
                </c:pt>
                <c:pt idx="3">
                  <c:v>72</c:v>
                </c:pt>
                <c:pt idx="4">
                  <c:v>38.1</c:v>
                </c:pt>
                <c:pt idx="5">
                  <c:v>8</c:v>
                </c:pt>
                <c:pt idx="6">
                  <c:v>2.7</c:v>
                </c:pt>
                <c:pt idx="7">
                  <c:v>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147-4398-AA10-84985A602677}"/>
            </c:ext>
          </c:extLst>
        </c:ser>
        <c:ser>
          <c:idx val="3"/>
          <c:order val="3"/>
          <c:tx>
            <c:v>PdFe10 (320)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noFill/>
              <a:ln w="19050">
                <a:solidFill>
                  <a:schemeClr val="accent2"/>
                </a:solidFill>
              </a:ln>
              <a:effectLst/>
            </c:spPr>
          </c:marker>
          <c:xVal>
            <c:numRef>
              <c:f>Лист3!$A$5:$A$16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12</c:v>
                </c:pt>
                <c:pt idx="8">
                  <c:v>14</c:v>
                </c:pt>
                <c:pt idx="9">
                  <c:v>16</c:v>
                </c:pt>
                <c:pt idx="10">
                  <c:v>20</c:v>
                </c:pt>
                <c:pt idx="11">
                  <c:v>25</c:v>
                </c:pt>
              </c:numCache>
            </c:numRef>
          </c:xVal>
          <c:yVal>
            <c:numRef>
              <c:f>Лист3!$D$5:$D$16</c:f>
              <c:numCache>
                <c:formatCode>General</c:formatCode>
                <c:ptCount val="12"/>
                <c:pt idx="0">
                  <c:v>79.3</c:v>
                </c:pt>
                <c:pt idx="1">
                  <c:v>61.8</c:v>
                </c:pt>
                <c:pt idx="2">
                  <c:v>50.8</c:v>
                </c:pt>
                <c:pt idx="3">
                  <c:v>41.5</c:v>
                </c:pt>
                <c:pt idx="4">
                  <c:v>19.399999999999999</c:v>
                </c:pt>
                <c:pt idx="5">
                  <c:v>11.6</c:v>
                </c:pt>
                <c:pt idx="6">
                  <c:v>5.4</c:v>
                </c:pt>
                <c:pt idx="7">
                  <c:v>2.7</c:v>
                </c:pt>
                <c:pt idx="8">
                  <c:v>2.1</c:v>
                </c:pt>
                <c:pt idx="9">
                  <c:v>2.5</c:v>
                </c:pt>
                <c:pt idx="10">
                  <c:v>3.6</c:v>
                </c:pt>
                <c:pt idx="11">
                  <c:v>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147-4398-AA10-84985A6026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3321439"/>
        <c:axId val="1003323103"/>
      </c:scatterChart>
      <c:valAx>
        <c:axId val="10033214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t, </a:t>
                </a:r>
                <a:r>
                  <a:rPr lang="ru-RU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мин</a:t>
                </a:r>
              </a:p>
            </c:rich>
          </c:tx>
          <c:layout>
            <c:manualLayout>
              <c:xMode val="edge"/>
              <c:yMode val="edge"/>
              <c:x val="0.84486744484808252"/>
              <c:y val="0.80524698351554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03323103"/>
        <c:crosses val="autoZero"/>
        <c:crossBetween val="midCat"/>
      </c:valAx>
      <c:valAx>
        <c:axId val="1003323103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ДКФ, %</a:t>
                </a:r>
              </a:p>
            </c:rich>
          </c:tx>
          <c:layout>
            <c:manualLayout>
              <c:xMode val="edge"/>
              <c:yMode val="edge"/>
              <c:x val="0"/>
              <c:y val="0.30212110114142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03321439"/>
        <c:crosses val="autoZero"/>
        <c:crossBetween val="midCat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66761824750985632"/>
          <c:y val="8.0012818165171209E-2"/>
          <c:w val="0.31070343786879218"/>
          <c:h val="0.440248529980264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Песоцкий</dc:creator>
  <cp:keywords/>
  <dc:description/>
  <cp:lastModifiedBy>Денис Песоцкий</cp:lastModifiedBy>
  <cp:revision>6</cp:revision>
  <dcterms:created xsi:type="dcterms:W3CDTF">2023-02-13T12:31:00Z</dcterms:created>
  <dcterms:modified xsi:type="dcterms:W3CDTF">2023-02-13T12:46:00Z</dcterms:modified>
</cp:coreProperties>
</file>