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hd w:val="clear" w:color="auto" w:fill="FFFFFF"/>
        <w:jc w:val="center"/>
        <w:rPr>
          <w:b/>
          <w:b/>
          <w:color w:val="000000"/>
          <w:highlight w:val="yellow"/>
        </w:rPr>
      </w:pPr>
      <w:r>
        <w:rPr>
          <w:rFonts w:eastAsia="Times New Roman" w:cs="Times New Roman"/>
          <w:b/>
          <w:color w:val="auto"/>
          <w:kern w:val="0"/>
          <w:sz w:val="24"/>
          <w:szCs w:val="24"/>
          <w:lang w:val="ru-RU" w:eastAsia="hu-HU" w:bidi="ar-SA"/>
        </w:rPr>
        <w:t>Компьютерное моделирован</w:t>
      </w:r>
      <w:r>
        <w:rPr>
          <w:rFonts w:eastAsia="Times New Roman" w:cs="Times New Roman"/>
          <w:b/>
          <w:color w:val="000000"/>
          <w:kern w:val="0"/>
          <w:sz w:val="24"/>
          <w:szCs w:val="24"/>
          <w:lang w:val="ru-RU" w:eastAsia="hu-HU" w:bidi="ar-SA"/>
        </w:rPr>
        <w:t>ие самосборки гребнеобразных сополимеров с физической пришивкой боковых цепей</w:t>
      </w:r>
      <w:r>
        <w:rPr>
          <w:b/>
          <w:color w:val="000000"/>
          <w:sz w:val="24"/>
          <w:szCs w:val="24"/>
        </w:rPr>
        <w:t xml:space="preserve"> </w:t>
      </w:r>
    </w:p>
    <w:p>
      <w:pPr>
        <w:pStyle w:val="Normal"/>
        <w:pBdr/>
        <w:shd w:val="clear" w:color="auto" w:fill="FFFFFF"/>
        <w:jc w:val="center"/>
        <w:rPr/>
      </w:pPr>
      <w:r>
        <w:rPr>
          <w:rFonts w:eastAsia="Times New Roman" w:cs="Times New Roman"/>
          <w:b/>
          <w:i/>
          <w:color w:val="000000"/>
          <w:sz w:val="24"/>
          <w:szCs w:val="24"/>
          <w:u w:val="none"/>
          <w:lang w:val="ru-RU" w:eastAsia="hu-HU"/>
        </w:rPr>
        <w:t>К.А. Белкина</w:t>
      </w:r>
      <w:r>
        <w:rPr>
          <w:b/>
          <w:i/>
          <w:color w:val="000000"/>
          <w:sz w:val="24"/>
          <w:szCs w:val="24"/>
          <w:u w:val="none"/>
          <w:vertAlign w:val="superscript"/>
          <w:lang w:val="ru-RU"/>
        </w:rPr>
        <w:t>1</w:t>
      </w:r>
      <w:r>
        <w:rPr>
          <w:b/>
          <w:i/>
          <w:color w:val="000000"/>
          <w:sz w:val="24"/>
          <w:szCs w:val="24"/>
          <w:lang w:val="ru-RU"/>
        </w:rPr>
        <w:t>, А</w:t>
      </w:r>
      <w:r>
        <w:rPr>
          <w:b/>
          <w:i/>
          <w:color w:val="000000"/>
          <w:sz w:val="24"/>
          <w:szCs w:val="24"/>
          <w:u w:val="none"/>
          <w:lang w:val="ru-RU"/>
        </w:rPr>
        <w:t>.И. Буглаков</w:t>
      </w:r>
      <w:r>
        <w:rPr>
          <w:b/>
          <w:i/>
          <w:color w:val="000000"/>
          <w:sz w:val="24"/>
          <w:szCs w:val="24"/>
          <w:u w:val="none"/>
          <w:vertAlign w:val="superscript"/>
          <w:lang w:val="ru-RU"/>
        </w:rPr>
        <w:t>2</w:t>
      </w:r>
      <w:r>
        <w:rPr>
          <w:b/>
          <w:i/>
          <w:color w:val="000000"/>
          <w:sz w:val="24"/>
          <w:szCs w:val="24"/>
          <w:lang w:val="ru-RU"/>
        </w:rPr>
        <w:t xml:space="preserve">, </w:t>
      </w:r>
      <w:r>
        <w:rPr>
          <w:rFonts w:eastAsia="Times New Roman" w:cs="Times New Roman"/>
          <w:b/>
          <w:i/>
          <w:color w:val="000000"/>
          <w:sz w:val="24"/>
          <w:szCs w:val="24"/>
          <w:lang w:val="ru-RU" w:eastAsia="hu-HU"/>
        </w:rPr>
        <w:t>В.В. Василевская</w:t>
      </w:r>
      <w:r>
        <w:rPr>
          <w:rFonts w:eastAsia="Times New Roman" w:cs="Times New Roman"/>
          <w:b/>
          <w:i/>
          <w:color w:val="000000"/>
          <w:sz w:val="24"/>
          <w:szCs w:val="24"/>
          <w:vertAlign w:val="superscript"/>
          <w:lang w:val="ru-RU" w:eastAsia="hu-HU"/>
        </w:rPr>
        <w:t>2</w:t>
      </w:r>
      <w:r>
        <w:rPr>
          <w:b/>
          <w:i/>
          <w:color w:val="000000"/>
          <w:sz w:val="24"/>
          <w:szCs w:val="24"/>
          <w:lang w:val="ru-RU"/>
        </w:rPr>
        <w:t>.</w:t>
      </w:r>
    </w:p>
    <w:p>
      <w:pPr>
        <w:pStyle w:val="Normal"/>
        <w:pBdr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>
        <w:rPr>
          <w:rFonts w:eastAsia="Times New Roman" w:cs="Times New Roman"/>
          <w:i/>
          <w:color w:val="000000"/>
          <w:sz w:val="24"/>
          <w:szCs w:val="24"/>
        </w:rPr>
        <w:t>бакаливриата</w:t>
      </w:r>
      <w:r>
        <w:rPr>
          <w:i/>
          <w:color w:val="000000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</w:rPr>
      </w:pPr>
      <w:r>
        <w:rPr>
          <w:rFonts w:eastAsia="Times New Roman" w:cs="Times New Roman"/>
          <w:i/>
          <w:color w:val="000000"/>
          <w:sz w:val="24"/>
          <w:szCs w:val="24"/>
          <w:vertAlign w:val="superscript"/>
          <w:lang w:val="ru-RU"/>
        </w:rPr>
        <w:t xml:space="preserve">1 </w:t>
      </w:r>
      <w:r>
        <w:rPr>
          <w:rFonts w:eastAsia="Times New Roman" w:cs="Times New Roman"/>
          <w:i/>
          <w:color w:val="000000"/>
          <w:position w:val="0"/>
          <w:sz w:val="24"/>
          <w:sz w:val="24"/>
          <w:szCs w:val="24"/>
          <w:vertAlign w:val="baseline"/>
          <w:lang w:val="ru-RU"/>
        </w:rPr>
        <w:t>Московский физико-технический институт</w:t>
        <w:br/>
        <w:t xml:space="preserve">(национальный исследовательский университет), </w:t>
      </w:r>
    </w:p>
    <w:p>
      <w:pPr>
        <w:pStyle w:val="Normal"/>
        <w:jc w:val="center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</w:rPr>
      </w:pPr>
      <w:r>
        <w:rPr>
          <w:rFonts w:eastAsia="Times New Roman" w:cs="Times New Roman"/>
          <w:i/>
          <w:color w:val="000000"/>
          <w:position w:val="0"/>
          <w:sz w:val="24"/>
          <w:sz w:val="24"/>
          <w:szCs w:val="24"/>
          <w:vertAlign w:val="baseline"/>
          <w:lang w:val="ru-RU"/>
        </w:rPr>
        <w:t xml:space="preserve"> </w:t>
      </w:r>
      <w:r>
        <w:rPr>
          <w:rFonts w:eastAsia="Times New Roman" w:cs="Times New Roman"/>
          <w:i/>
          <w:color w:val="000000"/>
          <w:position w:val="0"/>
          <w:sz w:val="24"/>
          <w:sz w:val="24"/>
          <w:szCs w:val="24"/>
          <w:vertAlign w:val="baseline"/>
          <w:lang w:val="ru-RU"/>
        </w:rPr>
        <w:t>Московская облаcть, г. Долгопрудный, Россия</w:t>
      </w:r>
    </w:p>
    <w:p>
      <w:pPr>
        <w:pStyle w:val="Normal"/>
        <w:jc w:val="center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</w:rPr>
      </w:pPr>
      <w:r>
        <w:rPr>
          <w:rFonts w:eastAsia="Times New Roman" w:cs="Times New Roman"/>
          <w:i/>
          <w:color w:val="000000"/>
          <w:sz w:val="24"/>
          <w:szCs w:val="24"/>
          <w:vertAlign w:val="superscript"/>
          <w:lang w:val="ru-RU"/>
        </w:rPr>
        <w:t>2</w:t>
      </w:r>
      <w:r>
        <w:rPr>
          <w:rFonts w:eastAsia="Times New Roman" w:cs="Times New Roman"/>
          <w:i/>
          <w:color w:val="000000"/>
          <w:position w:val="0"/>
          <w:sz w:val="24"/>
          <w:sz w:val="24"/>
          <w:szCs w:val="24"/>
          <w:vertAlign w:val="baseline"/>
          <w:lang w:val="ru-RU"/>
        </w:rPr>
        <w:t xml:space="preserve"> Институт элементоорганических соединений им. А.Н. Несмеянова</w:t>
      </w:r>
    </w:p>
    <w:p>
      <w:pPr>
        <w:pStyle w:val="Normal"/>
        <w:pBdr/>
        <w:shd w:val="clear" w:color="auto" w:fill="FFFFFF"/>
        <w:jc w:val="center"/>
        <w:rPr/>
      </w:pPr>
      <w:r>
        <w:rPr>
          <w:rFonts w:eastAsia="Times New Roman" w:cs="Times New Roman"/>
          <w:i/>
          <w:color w:val="000000"/>
          <w:position w:val="0"/>
          <w:sz w:val="24"/>
          <w:sz w:val="24"/>
          <w:szCs w:val="24"/>
          <w:vertAlign w:val="baseline"/>
          <w:lang w:val="ru-RU"/>
        </w:rPr>
        <w:t>Российской академии наук, Москва, Россия</w:t>
      </w:r>
    </w:p>
    <w:p>
      <w:pPr>
        <w:pStyle w:val="Normal"/>
        <w:pBdr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rFonts w:eastAsia="Times New Roman" w:cs="Times New Roman"/>
          <w:i/>
          <w:color w:val="000000"/>
          <w:sz w:val="24"/>
          <w:szCs w:val="24"/>
          <w:u w:val="single"/>
          <w:lang w:val="ru-RU"/>
        </w:rPr>
        <w:t>belkina.ka@phystech.edu</w:t>
      </w:r>
    </w:p>
    <w:p>
      <w:pPr>
        <w:pStyle w:val="Normal"/>
        <w:pBdr/>
        <w:shd w:val="clear" w:color="auto" w:fill="FFFFFF"/>
        <w:ind w:firstLine="397"/>
        <w:jc w:val="both"/>
        <w:rPr/>
      </w:pPr>
      <w:r>
        <w:rPr>
          <w:color w:val="000000"/>
        </w:rPr>
        <w:t>В настоящее время использование амфифильных гребнеобразных сополимеров с высокими показателями поверхностной активности является перспективным для получения новых функциональных материалов. Создание перерабатываемых сополимеров с обратимо изменяемой плотностью пришивки боковых цепей возможно осуществить с помощью супрамолекулярной химии на основе водородных взаимодействий между молекулами[1].</w:t>
      </w:r>
    </w:p>
    <w:p>
      <w:pPr>
        <w:pStyle w:val="Normal"/>
        <w:pBdr/>
        <w:shd w:val="clear" w:color="auto" w:fill="FFFFFF"/>
        <w:ind w:firstLine="397"/>
        <w:jc w:val="both"/>
        <w:rPr/>
      </w:pPr>
      <w:r>
        <w:rPr>
          <w:color w:val="000000"/>
        </w:rPr>
        <w:t xml:space="preserve">В данной работе исследован процесс спонтанного упорядочения в растворах супрамолекулярных амфифильных гребнеобразных макромолекул с боковыми цепями, пришитыми к мономеру с помощью насыщенных связей с малым временем жизни[3], с использованием методов мезоскопического компьютерного моделирования[2]. Были определены условия формирования систем сферических и цилиндрических мицелл со структурой ядро-оболочка и показано, что переход между данными состояниями может быть релизован посредством изменения энергии взаимодействия между динамической подвеской и основной цепью. Показано, что для больших энергий физического связывания и при высоких концентрациях дополнительного агента реализуется режим </w:t>
      </w:r>
      <w:r>
        <w:rPr>
          <w:rFonts w:eastAsia="Times New Roman" w:cs="Times New Roman"/>
          <w:color w:val="000000"/>
          <w:sz w:val="24"/>
          <w:szCs w:val="24"/>
        </w:rPr>
        <w:t>образования</w:t>
      </w:r>
      <w:r>
        <w:rPr>
          <w:color w:val="000000"/>
        </w:rPr>
        <w:t xml:space="preserve"> в растворе бислойных морф</w:t>
      </w:r>
      <w:r>
        <w:rPr>
          <w:color w:val="000000"/>
        </w:rPr>
        <w:t>о</w:t>
      </w:r>
      <w:r>
        <w:rPr>
          <w:color w:val="000000"/>
        </w:rPr>
        <w:t>логий по типу везикул.</w:t>
      </w:r>
    </w:p>
    <w:p>
      <w:pPr>
        <w:pStyle w:val="Normal"/>
        <w:pBdr/>
        <w:shd w:val="clear" w:color="auto" w:fill="FFFFFF"/>
        <w:ind w:firstLine="397"/>
        <w:jc w:val="both"/>
        <w:rPr>
          <w:color w:val="000000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980440</wp:posOffset>
            </wp:positionH>
            <wp:positionV relativeFrom="paragraph">
              <wp:posOffset>76835</wp:posOffset>
            </wp:positionV>
            <wp:extent cx="3940810" cy="235521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81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pBdr/>
        <w:shd w:val="clear" w:color="auto" w:fill="FFFFFF"/>
        <w:ind w:firstLine="397"/>
        <w:jc w:val="both"/>
        <w:rPr>
          <w:color w:val="000000"/>
        </w:rPr>
      </w:pPr>
      <w:r>
        <w:rPr/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shd w:val="clear" w:color="auto" w:fill="FFFFFF"/>
        <w:ind w:firstLine="397"/>
        <w:jc w:val="both"/>
        <w:rPr>
          <w:i/>
          <w:i/>
          <w:iCs/>
          <w:color w:val="000000"/>
        </w:rPr>
      </w:pPr>
      <w:r>
        <w:rPr/>
      </w:r>
    </w:p>
    <w:p>
      <w:pPr>
        <w:pStyle w:val="Normal"/>
        <w:pBdr/>
        <w:shd w:val="clear" w:color="auto" w:fill="FFFFFF"/>
        <w:ind w:firstLine="397"/>
        <w:jc w:val="both"/>
        <w:rPr>
          <w:i/>
          <w:i/>
          <w:iCs/>
          <w:color w:val="000000"/>
        </w:rPr>
      </w:pPr>
      <w:r>
        <w:rPr/>
      </w:r>
    </w:p>
    <w:p>
      <w:pPr>
        <w:pStyle w:val="Normal"/>
        <w:pBdr/>
        <w:shd w:val="clear" w:color="auto" w:fill="FFFFFF"/>
        <w:ind w:firstLine="397"/>
        <w:jc w:val="both"/>
        <w:rPr>
          <w:i/>
          <w:i/>
          <w:iCs/>
          <w:color w:val="000000"/>
        </w:rPr>
      </w:pPr>
      <w:r>
        <w:rPr/>
      </w:r>
    </w:p>
    <w:p>
      <w:pPr>
        <w:pStyle w:val="Normal"/>
        <w:pBdr/>
        <w:shd w:val="clear" w:color="auto" w:fill="FFFFFF"/>
        <w:ind w:firstLine="397"/>
        <w:jc w:val="both"/>
        <w:rPr>
          <w:i/>
          <w:i/>
          <w:iCs/>
          <w:color w:val="000000"/>
        </w:rPr>
      </w:pPr>
      <w:r>
        <w:rPr/>
      </w:r>
    </w:p>
    <w:p>
      <w:pPr>
        <w:pStyle w:val="Normal"/>
        <w:pBdr/>
        <w:shd w:val="clear" w:color="auto" w:fill="FFFFFF"/>
        <w:ind w:firstLine="397"/>
        <w:jc w:val="both"/>
        <w:rPr>
          <w:i/>
          <w:i/>
          <w:iCs/>
          <w:color w:val="000000"/>
        </w:rPr>
      </w:pPr>
      <w:r>
        <w:rPr/>
      </w:r>
    </w:p>
    <w:p>
      <w:pPr>
        <w:pStyle w:val="Normal"/>
        <w:pBdr/>
        <w:shd w:val="clear" w:color="auto" w:fill="FFFFFF"/>
        <w:ind w:firstLine="397"/>
        <w:jc w:val="both"/>
        <w:rPr>
          <w:i/>
          <w:i/>
          <w:iCs/>
          <w:color w:val="000000"/>
        </w:rPr>
      </w:pPr>
      <w:r>
        <w:rPr/>
      </w:r>
    </w:p>
    <w:p>
      <w:pPr>
        <w:pStyle w:val="Normal"/>
        <w:pBdr/>
        <w:shd w:val="clear" w:color="auto" w:fill="FFFFFF"/>
        <w:ind w:firstLine="397"/>
        <w:jc w:val="both"/>
        <w:rPr>
          <w:i/>
          <w:i/>
          <w:iCs/>
          <w:color w:val="000000"/>
        </w:rPr>
      </w:pPr>
      <w:r>
        <w:rPr/>
      </w:r>
    </w:p>
    <w:p>
      <w:pPr>
        <w:pStyle w:val="Normal"/>
        <w:pBdr/>
        <w:shd w:val="clear" w:color="auto" w:fill="FFFFFF"/>
        <w:ind w:firstLine="397"/>
        <w:jc w:val="both"/>
        <w:rPr>
          <w:i/>
          <w:i/>
          <w:iCs/>
          <w:color w:val="000000"/>
        </w:rPr>
      </w:pPr>
      <w:r>
        <w:rPr/>
      </w:r>
    </w:p>
    <w:p>
      <w:pPr>
        <w:pStyle w:val="Normal"/>
        <w:pBdr/>
        <w:shd w:val="clear" w:color="auto" w:fill="FFFFFF"/>
        <w:ind w:hanging="0"/>
        <w:jc w:val="both"/>
        <w:rPr>
          <w:i/>
          <w:i/>
          <w:iCs/>
          <w:color w:val="000000"/>
        </w:rPr>
      </w:pPr>
      <w:r>
        <w:rPr/>
      </w:r>
    </w:p>
    <w:p>
      <w:pPr>
        <w:pStyle w:val="Normal"/>
        <w:pBdr/>
        <w:shd w:val="clear" w:color="auto" w:fill="FFFFFF"/>
        <w:ind w:hanging="0"/>
        <w:jc w:val="both"/>
        <w:rPr>
          <w:i/>
          <w:i/>
          <w:iCs/>
          <w:color w:val="000000"/>
        </w:rPr>
      </w:pPr>
      <w:r>
        <w:rPr/>
      </w:r>
    </w:p>
    <w:p>
      <w:pPr>
        <w:pStyle w:val="Normal"/>
        <w:pBdr/>
        <w:shd w:val="clear" w:color="auto" w:fill="FFFFFF"/>
        <w:ind w:hanging="0"/>
        <w:jc w:val="both"/>
        <w:rPr>
          <w:i/>
          <w:i/>
          <w:iCs/>
          <w:color w:val="000000"/>
        </w:rPr>
      </w:pPr>
      <w:r>
        <w:rPr/>
      </w:r>
    </w:p>
    <w:p>
      <w:pPr>
        <w:pStyle w:val="Normal"/>
        <w:pBdr/>
        <w:shd w:val="clear" w:color="auto" w:fill="FFFFFF"/>
        <w:ind w:hanging="0"/>
        <w:jc w:val="both"/>
        <w:rPr>
          <w:i/>
          <w:i/>
          <w:iCs/>
          <w:color w:val="000000"/>
        </w:rPr>
      </w:pPr>
      <w:r>
        <w:rPr/>
      </w:r>
    </w:p>
    <w:p>
      <w:pPr>
        <w:pStyle w:val="Normal"/>
        <w:pBdr/>
        <w:shd w:val="clear" w:color="auto" w:fill="FFFFFF"/>
        <w:ind w:hanging="0"/>
        <w:jc w:val="both"/>
        <w:rPr>
          <w:i/>
          <w:i/>
          <w:iCs/>
          <w:color w:val="000000"/>
        </w:rPr>
      </w:pPr>
      <w:r>
        <w:rPr>
          <w:i/>
          <w:iCs/>
          <w:color w:val="000000"/>
        </w:rPr>
        <w:tab/>
        <w:t>Работа выполнена при поддержке гранта РНФ № 19-73-20104. Моделирование проводилось на оборудовании Центра коллективного пользования сверхвысокопроизводительными вычислительными ресурсами МГУ имени М.В. Ломоносова.</w:t>
      </w:r>
    </w:p>
    <w:p>
      <w:pPr>
        <w:pStyle w:val="Normal"/>
        <w:pBdr/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>
      <w:pPr>
        <w:pStyle w:val="Normal"/>
        <w:pBdr/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>1. Amrita Sikder, Cem Esen, Rachel K. O’Reilly, Nucleobase-Interaction-Directed Biomimetic Supramolecular Self-Assembly, Acc. Chem. Res., 55, 1609 (2022).</w:t>
      </w:r>
    </w:p>
    <w:p>
      <w:pPr>
        <w:pStyle w:val="Normal"/>
        <w:pBdr/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>2. Robert D. Groot and Patrick B. Warren, Dissipative particle dynamics: Bridging the gap between atomistic and mesoscopic simulation, J. Chem. Phys., 107, 4423 (1997).</w:t>
      </w:r>
    </w:p>
    <w:p>
      <w:pPr>
        <w:pStyle w:val="Normal"/>
        <w:pBdr/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 xml:space="preserve">3. Komarov P.V., Rudyak V.Yu.,  Gavrilov A.A., Accounting for π–π stacking interactions in the mesoscopic models of conjugated polymers, Mol. Syst. Des. Eng., 5, 1137 (2020). </w:t>
      </w:r>
    </w:p>
    <w:sectPr>
      <w:type w:val="nextPage"/>
      <w:pgSz w:w="11906" w:h="16838"/>
      <w:pgMar w:left="1361" w:right="1361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1c3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Абзац списка Знак"/>
    <w:basedOn w:val="DefaultParagraphFont"/>
    <w:link w:val="a5"/>
    <w:uiPriority w:val="34"/>
    <w:qFormat/>
    <w:locked/>
    <w:rsid w:val="004a26a3"/>
    <w:rPr/>
  </w:style>
  <w:style w:type="character" w:styleId="PlaceholderText">
    <w:name w:val="Placeholder Text"/>
    <w:basedOn w:val="DefaultParagraphFont"/>
    <w:uiPriority w:val="99"/>
    <w:semiHidden/>
    <w:qFormat/>
    <w:rsid w:val="00e22189"/>
    <w:rPr>
      <w:color w:val="808080"/>
    </w:rPr>
  </w:style>
  <w:style w:type="character" w:styleId="Internet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65b3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a6"/>
    <w:uiPriority w:val="34"/>
    <w:qFormat/>
    <w:rsid w:val="00106375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ff1903"/>
    <w:pPr>
      <w:widowControl/>
      <w:bidi w:val="0"/>
      <w:spacing w:before="0" w:after="0"/>
      <w:jc w:val="left"/>
    </w:pPr>
    <w:rPr>
      <w:rFonts w:cs="Times New Roman" w:ascii="Calibri" w:hAnsi="Calibri" w:eastAsia="Calibri"/>
      <w:color w:val="auto"/>
      <w:kern w:val="0"/>
      <w:sz w:val="22"/>
      <w:szCs w:val="22"/>
      <w:lang w:val="en-US" w:eastAsia="en-US" w:bidi="en-US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LibreOffice/6.4.7.2$Linux_X86_64 LibreOffice_project/40$Build-2</Application>
  <Pages>1</Pages>
  <Words>268</Words>
  <Characters>2057</Characters>
  <CharactersWithSpaces>2316</CharactersWithSpaces>
  <Paragraphs>15</Paragraphs>
  <Company>Lomonosov 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2022-11-07T09:18:00Z</dcterms:created>
  <dc:creator/>
  <dc:description/>
  <dc:language>en-US</dc:language>
  <cp:lastModifiedBy/>
  <dcterms:modified xsi:type="dcterms:W3CDTF">2023-03-03T16:11:37Z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Lomonosov MSU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ndeley Citation Style_1">
    <vt:lpwstr>http://www.zotero.org/styles/gost-r-7-0-5-2008-numeric</vt:lpwstr>
  </property>
  <property fmtid="{D5CDD505-2E9C-101B-9397-08002B2CF9AE}" pid="8" name="Mendeley Document_1">
    <vt:lpwstr>True</vt:lpwstr>
  </property>
  <property fmtid="{D5CDD505-2E9C-101B-9397-08002B2CF9AE}" pid="9" name="Mendeley Recent Style Id 0_1">
    <vt:lpwstr>http://www.zotero.org/styles/chicago-author-date</vt:lpwstr>
  </property>
  <property fmtid="{D5CDD505-2E9C-101B-9397-08002B2CF9AE}" pid="10" name="Mendeley Recent Style Id 1_1">
    <vt:lpwstr>http://www.zotero.org/styles/harvard-cite-them-right</vt:lpwstr>
  </property>
  <property fmtid="{D5CDD505-2E9C-101B-9397-08002B2CF9AE}" pid="11" name="Mendeley Recent Style Id 2_1">
    <vt:lpwstr>http://www.zotero.org/styles/ieee</vt:lpwstr>
  </property>
  <property fmtid="{D5CDD505-2E9C-101B-9397-08002B2CF9AE}" pid="12" name="Mendeley Recent Style Id 3_1">
    <vt:lpwstr>http://www.zotero.org/styles/modern-humanities-research-association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Id 5_1">
    <vt:lpwstr>http://www.zotero.org/styles/nature</vt:lpwstr>
  </property>
  <property fmtid="{D5CDD505-2E9C-101B-9397-08002B2CF9AE}" pid="15" name="Mendeley Recent Style Id 6_1">
    <vt:lpwstr>http://www.zotero.org/styles/russian-chemical-reviews</vt:lpwstr>
  </property>
  <property fmtid="{D5CDD505-2E9C-101B-9397-08002B2CF9AE}" pid="16" name="Mendeley Recent Style Id 7_1">
    <vt:lpwstr>http://www.zotero.org/styles/gost-r-7-0-5-2008</vt:lpwstr>
  </property>
  <property fmtid="{D5CDD505-2E9C-101B-9397-08002B2CF9AE}" pid="17" name="Mendeley Recent Style Id 8_1">
    <vt:lpwstr>http://www.zotero.org/styles/gost-r-7-0-5-2008-numeric</vt:lpwstr>
  </property>
  <property fmtid="{D5CDD505-2E9C-101B-9397-08002B2CF9AE}" pid="18" name="Mendeley Recent Style Id 9_1">
    <vt:lpwstr>http://csl.mendeley.com/styles/7762213/gost-r-7-0-5-2008-numeric-3</vt:lpwstr>
  </property>
  <property fmtid="{D5CDD505-2E9C-101B-9397-08002B2CF9AE}" pid="19" name="Mendeley Recent Style Name 0_1">
    <vt:lpwstr>Chicago Manual of Style 17th edition (author-date)</vt:lpwstr>
  </property>
  <property fmtid="{D5CDD505-2E9C-101B-9397-08002B2CF9AE}" pid="20" name="Mendeley Recent Style Name 1_1">
    <vt:lpwstr>Cite Them Right 10th edition - Harvard</vt:lpwstr>
  </property>
  <property fmtid="{D5CDD505-2E9C-101B-9397-08002B2CF9AE}" pid="21" name="Mendeley Recent Style Name 2_1">
    <vt:lpwstr>IEEE</vt:lpwstr>
  </property>
  <property fmtid="{D5CDD505-2E9C-101B-9397-08002B2CF9AE}" pid="22" name="Mendeley Recent Style Name 3_1">
    <vt:lpwstr>Modern Humanities Research Association 3rd edition (note with bibliography)</vt:lpwstr>
  </property>
  <property fmtid="{D5CDD505-2E9C-101B-9397-08002B2CF9AE}" pid="23" name="Mendeley Recent Style Name 4_1">
    <vt:lpwstr>Modern Language Association 8th edition</vt:lpwstr>
  </property>
  <property fmtid="{D5CDD505-2E9C-101B-9397-08002B2CF9AE}" pid="24" name="Mendeley Recent Style Name 5_1">
    <vt:lpwstr>Nature</vt:lpwstr>
  </property>
  <property fmtid="{D5CDD505-2E9C-101B-9397-08002B2CF9AE}" pid="25" name="Mendeley Recent Style Name 6_1">
    <vt:lpwstr>Russian Chemical Reviews</vt:lpwstr>
  </property>
  <property fmtid="{D5CDD505-2E9C-101B-9397-08002B2CF9AE}" pid="26" name="Mendeley Recent Style Name 7_1">
    <vt:lpwstr>Russian GOST R 7.0.5-2008 (Russian)</vt:lpwstr>
  </property>
  <property fmtid="{D5CDD505-2E9C-101B-9397-08002B2CF9AE}" pid="27" name="Mendeley Recent Style Name 8_1">
    <vt:lpwstr>Russian GOST R 7.0.5-2008 (numeric)</vt:lpwstr>
  </property>
  <property fmtid="{D5CDD505-2E9C-101B-9397-08002B2CF9AE}" pid="28" name="Mendeley Recent Style Name 9_1">
    <vt:lpwstr>Russian GOST R 7.0.5-2008 (numeric) - Alexander Dzuban</vt:lpwstr>
  </property>
  <property fmtid="{D5CDD505-2E9C-101B-9397-08002B2CF9AE}" pid="29" name="Mendeley Unique User Id_1">
    <vt:lpwstr>b09b180f-15e6-39a8-8e02-e401af1d2283</vt:lpwstr>
  </property>
  <property fmtid="{D5CDD505-2E9C-101B-9397-08002B2CF9AE}" pid="30" name="ScaleCrop">
    <vt:bool>0</vt:bool>
  </property>
  <property fmtid="{D5CDD505-2E9C-101B-9397-08002B2CF9AE}" pid="31" name="ShareDoc">
    <vt:bool>0</vt:bool>
  </property>
</Properties>
</file>