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42" w:rsidRPr="00444342" w:rsidRDefault="00444342" w:rsidP="00444342">
      <w:pPr>
        <w:jc w:val="center"/>
        <w:rPr>
          <w:rFonts w:cs="Calibri"/>
          <w:b/>
        </w:rPr>
      </w:pPr>
      <w:r w:rsidRPr="00444342">
        <w:rPr>
          <w:b/>
        </w:rPr>
        <w:t xml:space="preserve">Полимерные </w:t>
      </w:r>
      <w:proofErr w:type="spellStart"/>
      <w:r w:rsidRPr="00444342">
        <w:rPr>
          <w:b/>
        </w:rPr>
        <w:t>мицеллярные</w:t>
      </w:r>
      <w:proofErr w:type="spellEnd"/>
      <w:r w:rsidRPr="00444342">
        <w:rPr>
          <w:b/>
        </w:rPr>
        <w:t xml:space="preserve"> катализаторы, модифицированные </w:t>
      </w:r>
      <w:proofErr w:type="spellStart"/>
      <w:r w:rsidRPr="00444342">
        <w:rPr>
          <w:b/>
        </w:rPr>
        <w:t>мП</w:t>
      </w:r>
      <w:r>
        <w:rPr>
          <w:b/>
        </w:rPr>
        <w:t>Э</w:t>
      </w:r>
      <w:r w:rsidRPr="00444342">
        <w:rPr>
          <w:b/>
        </w:rPr>
        <w:t>Г</w:t>
      </w:r>
      <w:proofErr w:type="spellEnd"/>
      <w:r w:rsidRPr="00444342">
        <w:rPr>
          <w:b/>
        </w:rPr>
        <w:t>, для проведения органических реакций в воде</w:t>
      </w:r>
    </w:p>
    <w:p w:rsidR="00444342" w:rsidRPr="00444342" w:rsidRDefault="00444342" w:rsidP="00444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 w:rsidRPr="00444342">
        <w:rPr>
          <w:b/>
          <w:i/>
          <w:color w:val="000000"/>
          <w:u w:val="single"/>
        </w:rPr>
        <w:t>Кадников</w:t>
      </w:r>
      <w:proofErr w:type="spellEnd"/>
      <w:r w:rsidRPr="00444342">
        <w:rPr>
          <w:b/>
          <w:i/>
          <w:color w:val="000000"/>
          <w:u w:val="single"/>
        </w:rPr>
        <w:t xml:space="preserve"> М. В.</w:t>
      </w:r>
      <w:r w:rsidRPr="00444342">
        <w:rPr>
          <w:b/>
          <w:i/>
          <w:color w:val="000000"/>
          <w:u w:val="single"/>
          <w:vertAlign w:val="superscript"/>
        </w:rPr>
        <w:t>1</w:t>
      </w:r>
      <w:r w:rsidRPr="00444342">
        <w:rPr>
          <w:b/>
          <w:i/>
          <w:color w:val="000000"/>
        </w:rPr>
        <w:t xml:space="preserve">, </w:t>
      </w:r>
      <w:proofErr w:type="spellStart"/>
      <w:r w:rsidRPr="00444342">
        <w:rPr>
          <w:b/>
          <w:i/>
          <w:color w:val="000000"/>
        </w:rPr>
        <w:t>Фетин</w:t>
      </w:r>
      <w:proofErr w:type="spellEnd"/>
      <w:r w:rsidRPr="00444342">
        <w:rPr>
          <w:b/>
          <w:i/>
          <w:color w:val="000000"/>
        </w:rPr>
        <w:t xml:space="preserve"> П. А.</w:t>
      </w:r>
      <w:r w:rsidRPr="00444342">
        <w:rPr>
          <w:b/>
          <w:i/>
          <w:color w:val="000000"/>
          <w:vertAlign w:val="superscript"/>
        </w:rPr>
        <w:t>1</w:t>
      </w:r>
      <w:r w:rsidRPr="00444342">
        <w:rPr>
          <w:b/>
          <w:i/>
          <w:color w:val="000000"/>
        </w:rPr>
        <w:t>, Зорин И. М.</w:t>
      </w:r>
      <w:r w:rsidRPr="00444342">
        <w:rPr>
          <w:b/>
          <w:i/>
          <w:color w:val="000000"/>
          <w:vertAlign w:val="superscript"/>
        </w:rPr>
        <w:t>1</w:t>
      </w:r>
    </w:p>
    <w:p w:rsidR="00130241" w:rsidRDefault="00444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:rsidR="00444342" w:rsidRPr="00226340" w:rsidRDefault="00444342" w:rsidP="00444342">
      <w:pPr>
        <w:pStyle w:val="absorg"/>
        <w:rPr>
          <w:b w:val="0"/>
          <w:bCs w:val="0"/>
          <w:sz w:val="26"/>
          <w:szCs w:val="26"/>
        </w:rPr>
      </w:pPr>
      <w:r w:rsidRPr="00226340">
        <w:rPr>
          <w:b w:val="0"/>
          <w:bCs w:val="0"/>
          <w:sz w:val="26"/>
          <w:szCs w:val="26"/>
          <w:vertAlign w:val="superscript"/>
        </w:rPr>
        <w:t>1</w:t>
      </w:r>
      <w:r w:rsidRPr="00226340">
        <w:rPr>
          <w:b w:val="0"/>
          <w:bCs w:val="0"/>
          <w:sz w:val="26"/>
          <w:szCs w:val="26"/>
        </w:rPr>
        <w:t xml:space="preserve">Санкт-Петербургский государственный университет, </w:t>
      </w:r>
      <w:r>
        <w:rPr>
          <w:b w:val="0"/>
          <w:bCs w:val="0"/>
          <w:sz w:val="26"/>
          <w:szCs w:val="26"/>
        </w:rPr>
        <w:t>Институт химии</w:t>
      </w:r>
      <w:r w:rsidRPr="00226340">
        <w:rPr>
          <w:b w:val="0"/>
          <w:bCs w:val="0"/>
          <w:sz w:val="26"/>
          <w:szCs w:val="26"/>
        </w:rPr>
        <w:t>,</w:t>
      </w:r>
      <w:r>
        <w:rPr>
          <w:b w:val="0"/>
          <w:bCs w:val="0"/>
          <w:sz w:val="26"/>
          <w:szCs w:val="26"/>
        </w:rPr>
        <w:br/>
      </w:r>
      <w:proofErr w:type="gramStart"/>
      <w:r w:rsidRPr="00226340">
        <w:rPr>
          <w:b w:val="0"/>
          <w:bCs w:val="0"/>
          <w:sz w:val="26"/>
          <w:szCs w:val="26"/>
        </w:rPr>
        <w:t>г</w:t>
      </w:r>
      <w:proofErr w:type="gramEnd"/>
      <w:r w:rsidRPr="00226340">
        <w:rPr>
          <w:b w:val="0"/>
          <w:bCs w:val="0"/>
          <w:sz w:val="26"/>
          <w:szCs w:val="26"/>
        </w:rPr>
        <w:t xml:space="preserve">. Санкт-Петербург, </w:t>
      </w:r>
      <w:r>
        <w:rPr>
          <w:b w:val="0"/>
          <w:bCs w:val="0"/>
          <w:sz w:val="26"/>
          <w:szCs w:val="26"/>
        </w:rPr>
        <w:t>Россия</w:t>
      </w:r>
    </w:p>
    <w:p w:rsidR="00130241" w:rsidRPr="00444342" w:rsidRDefault="00EB1F49" w:rsidP="00444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444342">
        <w:rPr>
          <w:i/>
          <w:color w:val="000000"/>
          <w:lang w:val="en-US"/>
        </w:rPr>
        <w:t>E</w:t>
      </w:r>
      <w:r w:rsidR="003B76D6" w:rsidRPr="00444342">
        <w:rPr>
          <w:i/>
          <w:color w:val="000000"/>
        </w:rPr>
        <w:t>-</w:t>
      </w:r>
      <w:r w:rsidRPr="00444342">
        <w:rPr>
          <w:i/>
          <w:color w:val="000000"/>
          <w:lang w:val="en-US"/>
        </w:rPr>
        <w:t>mail</w:t>
      </w:r>
      <w:r w:rsidRPr="00444342">
        <w:rPr>
          <w:i/>
          <w:color w:val="000000"/>
        </w:rPr>
        <w:t xml:space="preserve">: </w:t>
      </w:r>
      <w:proofErr w:type="spellStart"/>
      <w:r w:rsidR="00444342" w:rsidRPr="00444342">
        <w:rPr>
          <w:i/>
          <w:iCs/>
          <w:u w:val="single"/>
          <w:lang w:val="en-US"/>
        </w:rPr>
        <w:t>mkadnikov</w:t>
      </w:r>
      <w:proofErr w:type="spellEnd"/>
      <w:r w:rsidR="00444342" w:rsidRPr="00444342">
        <w:rPr>
          <w:i/>
          <w:iCs/>
          <w:u w:val="single"/>
        </w:rPr>
        <w:t>199991@</w:t>
      </w:r>
      <w:proofErr w:type="spellStart"/>
      <w:r w:rsidR="00444342" w:rsidRPr="00444342">
        <w:rPr>
          <w:i/>
          <w:iCs/>
          <w:u w:val="single"/>
          <w:lang w:val="en-US"/>
        </w:rPr>
        <w:t>gmail</w:t>
      </w:r>
      <w:proofErr w:type="spellEnd"/>
      <w:r w:rsidR="00444342" w:rsidRPr="00444342">
        <w:rPr>
          <w:i/>
          <w:iCs/>
          <w:u w:val="single"/>
        </w:rPr>
        <w:t>.</w:t>
      </w:r>
      <w:r w:rsidR="00444342" w:rsidRPr="00444342">
        <w:rPr>
          <w:i/>
          <w:iCs/>
          <w:u w:val="single"/>
          <w:lang w:val="en-US"/>
        </w:rPr>
        <w:t>com</w:t>
      </w:r>
    </w:p>
    <w:p w:rsidR="00444342" w:rsidRPr="00444342" w:rsidRDefault="00444342" w:rsidP="00444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4342">
        <w:rPr>
          <w:color w:val="000000"/>
        </w:rPr>
        <w:t xml:space="preserve">Явление </w:t>
      </w:r>
      <w:proofErr w:type="spellStart"/>
      <w:r w:rsidRPr="00444342">
        <w:rPr>
          <w:color w:val="000000"/>
        </w:rPr>
        <w:t>мицеллярного</w:t>
      </w:r>
      <w:proofErr w:type="spellEnd"/>
      <w:r w:rsidRPr="00444342">
        <w:rPr>
          <w:color w:val="000000"/>
        </w:rPr>
        <w:t xml:space="preserve"> катализа широко известно и используется в органическом синтезе при проведении некоторых реакций в водных растворах. Для этих целей обычно используют </w:t>
      </w:r>
      <w:proofErr w:type="gramStart"/>
      <w:r w:rsidRPr="00444342">
        <w:rPr>
          <w:color w:val="000000"/>
        </w:rPr>
        <w:t>низкомолекулярные</w:t>
      </w:r>
      <w:proofErr w:type="gramEnd"/>
      <w:r w:rsidRPr="00444342">
        <w:rPr>
          <w:color w:val="000000"/>
        </w:rPr>
        <w:t xml:space="preserve"> ПАВ. В этой работе мы решили расширить круг объектов, используемых в качестве </w:t>
      </w:r>
      <w:proofErr w:type="spellStart"/>
      <w:r w:rsidRPr="00444342">
        <w:rPr>
          <w:color w:val="000000"/>
        </w:rPr>
        <w:t>катализоторов</w:t>
      </w:r>
      <w:proofErr w:type="spellEnd"/>
      <w:r w:rsidRPr="00444342">
        <w:rPr>
          <w:color w:val="000000"/>
        </w:rPr>
        <w:t xml:space="preserve"> для реализации </w:t>
      </w:r>
      <w:proofErr w:type="spellStart"/>
      <w:r w:rsidRPr="00444342">
        <w:rPr>
          <w:color w:val="000000"/>
        </w:rPr>
        <w:t>мицеллярных</w:t>
      </w:r>
      <w:proofErr w:type="spellEnd"/>
      <w:r w:rsidRPr="00444342">
        <w:rPr>
          <w:color w:val="000000"/>
        </w:rPr>
        <w:t xml:space="preserve"> реакций, за счет гребнеобразных полимеров, поскольку они обладают рядом ценных свойств:</w:t>
      </w:r>
    </w:p>
    <w:p w:rsidR="00444342" w:rsidRPr="00444342" w:rsidRDefault="00444342" w:rsidP="00444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44342">
        <w:rPr>
          <w:color w:val="000000"/>
        </w:rPr>
        <w:t>Возможность регенерации ПАВ после реакции;</w:t>
      </w:r>
    </w:p>
    <w:p w:rsidR="00444342" w:rsidRDefault="00444342" w:rsidP="00444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44342">
        <w:rPr>
          <w:color w:val="000000"/>
        </w:rPr>
        <w:t xml:space="preserve">Высокая </w:t>
      </w:r>
      <w:proofErr w:type="spellStart"/>
      <w:r w:rsidRPr="00444342">
        <w:rPr>
          <w:color w:val="000000"/>
        </w:rPr>
        <w:t>солюбилизирующая</w:t>
      </w:r>
      <w:proofErr w:type="spellEnd"/>
      <w:r w:rsidRPr="00444342">
        <w:rPr>
          <w:color w:val="000000"/>
        </w:rPr>
        <w:t xml:space="preserve"> способность;</w:t>
      </w:r>
    </w:p>
    <w:p w:rsidR="00444342" w:rsidRPr="00444342" w:rsidRDefault="00444342" w:rsidP="00444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44342">
        <w:rPr>
          <w:color w:val="000000"/>
        </w:rPr>
        <w:t>Низкие пороги ассоциации, практически равные нулю</w:t>
      </w:r>
      <w:r>
        <w:rPr>
          <w:color w:val="000000"/>
        </w:rPr>
        <w:t>.</w:t>
      </w:r>
    </w:p>
    <w:p w:rsidR="00444342" w:rsidRPr="00444342" w:rsidRDefault="00444342" w:rsidP="00444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 w:val="26"/>
          <w:szCs w:val="26"/>
        </w:rPr>
      </w:pPr>
      <w:r w:rsidRPr="00444342">
        <w:rPr>
          <w:sz w:val="26"/>
          <w:szCs w:val="26"/>
        </w:rPr>
        <w:t xml:space="preserve">Поверхностно-активные вещества находят применение в различных областях науки и техники. Например, в их присутствии возможно обеззараживание некоторых боевых отравляющих веществ, а также моделирования условий ферментативного катализа при разработке систем доставки лекарств. </w:t>
      </w:r>
    </w:p>
    <w:p w:rsidR="009F3380" w:rsidRDefault="00444342" w:rsidP="00444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4342">
        <w:rPr>
          <w:color w:val="000000"/>
        </w:rPr>
        <w:t xml:space="preserve">Цель данной работы состояла в оценке возможности использования гребнеобразных полимеров для </w:t>
      </w:r>
      <w:proofErr w:type="spellStart"/>
      <w:r w:rsidRPr="00444342">
        <w:rPr>
          <w:color w:val="000000"/>
        </w:rPr>
        <w:t>мицеллярного</w:t>
      </w:r>
      <w:proofErr w:type="spellEnd"/>
      <w:r w:rsidRPr="00444342">
        <w:rPr>
          <w:color w:val="000000"/>
        </w:rPr>
        <w:t xml:space="preserve"> катализа.</w:t>
      </w:r>
    </w:p>
    <w:p w:rsidR="00444342" w:rsidRPr="00444342" w:rsidRDefault="00444342" w:rsidP="00444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4342">
        <w:rPr>
          <w:color w:val="000000"/>
        </w:rPr>
        <w:t xml:space="preserve">Были синтезированы гребнеобразные полиэлектролиты, содержащие </w:t>
      </w:r>
      <w:proofErr w:type="spellStart"/>
      <w:r w:rsidRPr="00444342">
        <w:rPr>
          <w:color w:val="000000"/>
        </w:rPr>
        <w:t>тетраалкил</w:t>
      </w:r>
      <w:proofErr w:type="spellEnd"/>
      <w:r w:rsidRPr="00444342">
        <w:rPr>
          <w:color w:val="000000"/>
        </w:rPr>
        <w:t xml:space="preserve"> замещенные аминогруппы, где в качестве одного из заместителей </w:t>
      </w:r>
      <w:proofErr w:type="gramStart"/>
      <w:r w:rsidRPr="00444342">
        <w:rPr>
          <w:color w:val="000000"/>
        </w:rPr>
        <w:t xml:space="preserve">выступали фрагменты </w:t>
      </w:r>
      <w:proofErr w:type="spellStart"/>
      <w:r w:rsidRPr="00444342">
        <w:rPr>
          <w:color w:val="000000"/>
        </w:rPr>
        <w:t>мПЭГ</w:t>
      </w:r>
      <w:proofErr w:type="spellEnd"/>
      <w:r w:rsidRPr="00444342">
        <w:rPr>
          <w:color w:val="000000"/>
        </w:rPr>
        <w:t xml:space="preserve"> разной длинны</w:t>
      </w:r>
      <w:proofErr w:type="gramEnd"/>
      <w:r w:rsidRPr="00444342">
        <w:rPr>
          <w:color w:val="000000"/>
        </w:rPr>
        <w:t xml:space="preserve">. Для полимеров и соответствующих им мономеров были определены ККМ, </w:t>
      </w:r>
      <w:proofErr w:type="spellStart"/>
      <w:r w:rsidRPr="00444342">
        <w:rPr>
          <w:color w:val="000000"/>
        </w:rPr>
        <w:t>солюбилизационная</w:t>
      </w:r>
      <w:proofErr w:type="spellEnd"/>
      <w:r w:rsidRPr="00444342">
        <w:rPr>
          <w:color w:val="000000"/>
        </w:rPr>
        <w:t xml:space="preserve"> емкость. Полученные вещества также были использованы в модельной реакции гидролиза сложного эфира.</w:t>
      </w:r>
    </w:p>
    <w:p w:rsidR="00444342" w:rsidRPr="00444342" w:rsidRDefault="00444342" w:rsidP="00444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4342">
        <w:rPr>
          <w:i/>
          <w:iCs/>
          <w:color w:val="000000"/>
        </w:rPr>
        <w:t>Исследование выполнено за счет гранта Российского научного фонда 21-73-10132. Авторы выражают благодарность Центру магнитно-резонансных методов исследования вещества, Криогенному отделу, РЦ Методы анализа состава вещества.</w:t>
      </w:r>
    </w:p>
    <w:p w:rsidR="00D42542" w:rsidRDefault="00D42542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D42542" w:rsidSect="000673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543FA"/>
    <w:multiLevelType w:val="hybridMultilevel"/>
    <w:tmpl w:val="042C5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30241"/>
    <w:rsid w:val="00063966"/>
    <w:rsid w:val="0006733A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44342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90663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673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673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673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6733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673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673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673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6733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673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443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342"/>
    <w:rPr>
      <w:rFonts w:ascii="Tahoma" w:eastAsia="Times New Roman" w:hAnsi="Tahoma" w:cs="Tahoma"/>
      <w:sz w:val="16"/>
      <w:szCs w:val="16"/>
    </w:rPr>
  </w:style>
  <w:style w:type="paragraph" w:customStyle="1" w:styleId="abstitle">
    <w:name w:val="abstitle"/>
    <w:basedOn w:val="a"/>
    <w:uiPriority w:val="99"/>
    <w:rsid w:val="00444342"/>
    <w:pPr>
      <w:widowControl w:val="0"/>
      <w:suppressAutoHyphens/>
      <w:spacing w:after="238"/>
      <w:jc w:val="center"/>
    </w:pPr>
    <w:rPr>
      <w:rFonts w:eastAsia="SimSun"/>
      <w:b/>
      <w:bCs/>
      <w:caps/>
      <w:kern w:val="1"/>
      <w:sz w:val="18"/>
      <w:szCs w:val="18"/>
      <w:lang w:eastAsia="zh-CN"/>
    </w:rPr>
  </w:style>
  <w:style w:type="paragraph" w:customStyle="1" w:styleId="absorg">
    <w:name w:val="absorg"/>
    <w:basedOn w:val="a"/>
    <w:uiPriority w:val="99"/>
    <w:rsid w:val="00444342"/>
    <w:pPr>
      <w:widowControl w:val="0"/>
      <w:suppressAutoHyphens/>
      <w:jc w:val="center"/>
    </w:pPr>
    <w:rPr>
      <w:rFonts w:eastAsia="SimSun"/>
      <w:b/>
      <w:bCs/>
      <w:i/>
      <w:iCs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213DD9-DB2C-47BA-B43B-3D4687E7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imz</dc:creator>
  <cp:lastModifiedBy>imz</cp:lastModifiedBy>
  <cp:revision>2</cp:revision>
  <dcterms:created xsi:type="dcterms:W3CDTF">2023-02-16T10:49:00Z</dcterms:created>
  <dcterms:modified xsi:type="dcterms:W3CDTF">2023-02-16T10:49:00Z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