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Влияние строения поли(лактид-блок-этиленгликоля) на характеристики наносомальной формы оксалиплатина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Иваненко А.Д.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, Пучкова Ю.А.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, Седуш Н.Г.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>
      <w:pPr>
        <w:spacing w:after="0" w:line="240" w:lineRule="auto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Студент, 1 курс магистратуры</w:t>
      </w:r>
    </w:p>
    <w:p>
      <w:pPr>
        <w:spacing w:after="0" w:line="240" w:lineRule="auto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i/>
          <w:iCs/>
          <w:sz w:val="24"/>
          <w:szCs w:val="24"/>
        </w:rPr>
        <w:t>Московский физико-технический институт, ИНБИКСТ, Долгопрудный, Россия</w:t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i/>
          <w:iCs/>
          <w:sz w:val="24"/>
          <w:szCs w:val="24"/>
        </w:rPr>
        <w:t>НИЦ “Курчатовский институт”, Москва, Россия</w:t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</w:t>
      </w:r>
      <w:r>
        <w:rPr>
          <w:rFonts w:ascii="Times New Roman" w:cs="Times New Roman" w:hAnsi="Times New Roman"/>
          <w:i/>
          <w:iCs/>
          <w:sz w:val="24"/>
          <w:szCs w:val="24"/>
        </w:rPr>
        <w:t>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antoninaiv</w:t>
      </w:r>
      <w:r>
        <w:rPr>
          <w:rFonts w:ascii="Times New Roman" w:cs="Times New Roman" w:hAnsi="Times New Roman"/>
          <w:i/>
          <w:iCs/>
          <w:sz w:val="24"/>
          <w:szCs w:val="24"/>
        </w:rPr>
        <w:t>2001@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cs="Times New Roman" w:hAnsi="Times New Roman"/>
          <w:i/>
          <w:iCs/>
          <w:sz w:val="24"/>
          <w:szCs w:val="24"/>
        </w:rPr>
        <w:t>.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ru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397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Получение полимерных наночастиц для доставки лекарственного средства (ЛС) к целевому органу уже долгое время является актуальным предметом исследований. Инкапсулирование ЛС в частицу-носитель позволяет использовать меньшие концентраций ЛС, повысить терапевтическую эффективность за счет увеличения времени нахождения ЛС в кровотоке, добиться желаемой схемы высвобождения, а также защитить здоровые ткани от токсического влияния ЛС. Большой интерес для разработки таких систем доставки представляют биоразлагаемые и биосовместимые сополимеры лактида и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этиленгликоля </w:t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mPEG</w:t>
      </w: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PL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А), </w:t>
      </w:r>
      <w:r>
        <w:rPr>
          <w:rFonts w:ascii="Times New Roman" w:cs="Times New Roman" w:hAnsi="Times New Roman"/>
          <w:color w:val="000000"/>
          <w:sz w:val="24"/>
          <w:szCs w:val="24"/>
        </w:rPr>
        <w:t>преимущество которых заключается в одностадийном синтезе, возможности получения соединений заданного состава и частиц-носителей с необходимыми характеристиками без использования стабилизаторов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[1].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Оксалиплатин </w:t>
      </w:r>
      <w:r>
        <w:rPr>
          <w:rFonts w:ascii="Times New Roman" w:cs="Times New Roman" w:hAnsi="Times New Roman"/>
          <w:color w:val="000000"/>
          <w:sz w:val="24"/>
          <w:szCs w:val="24"/>
        </w:rPr>
        <w:t>является одним из наиболее часто используемых химиотерапевтических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препаратов для лечения р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азличных </w:t>
      </w:r>
      <w:r>
        <w:rPr>
          <w:rFonts w:ascii="Times New Roman" w:cs="Times New Roman" w:hAnsi="Times New Roman"/>
          <w:color w:val="000000"/>
          <w:sz w:val="24"/>
          <w:szCs w:val="24"/>
        </w:rPr>
        <w:t>видов рака</w:t>
      </w:r>
      <w:r>
        <w:rPr>
          <w:rFonts w:ascii="Times New Roman" w:cs="Times New Roman" w:hAnsi="Times New Roman"/>
          <w:color w:val="000000"/>
          <w:sz w:val="24"/>
          <w:szCs w:val="24"/>
        </w:rPr>
        <w:t>[2]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/>
          <w:sz w:val="24"/>
          <w:szCs w:val="24"/>
        </w:rPr>
        <w:t>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днако </w:t>
      </w:r>
      <w:r>
        <w:rPr>
          <w:rFonts w:ascii="Times New Roman" w:cs="Times New Roman" w:hAnsi="Times New Roman"/>
          <w:color w:val="000000"/>
          <w:sz w:val="24"/>
          <w:szCs w:val="24"/>
        </w:rPr>
        <w:t>ряд побочных эффектов при его использовании в свободной форме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обуславливает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поиск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оптимального </w:t>
      </w:r>
      <w:r>
        <w:rPr>
          <w:rFonts w:ascii="Times New Roman" w:cs="Times New Roman" w:hAnsi="Times New Roman"/>
          <w:color w:val="000000"/>
          <w:sz w:val="24"/>
          <w:szCs w:val="24"/>
        </w:rPr>
        <w:t>носителя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Целью работы является исследование влияния строения двойных блок-сополимеров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mPEG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>113</w:t>
      </w: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LA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  <w:lang w:val="en-US"/>
        </w:rPr>
        <w:t>n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 эффективность загрузки</w:t>
      </w:r>
      <w:r>
        <w:rPr>
          <w:rFonts w:ascii="Times New Roman" w:cs="Times New Roman" w:hAnsi="Times New Roman"/>
          <w:sz w:val="24"/>
          <w:szCs w:val="24"/>
        </w:rPr>
        <w:t xml:space="preserve"> оксалиплатина в наночастицы</w:t>
      </w:r>
      <w:r>
        <w:rPr>
          <w:rFonts w:ascii="Times New Roman" w:cs="Times New Roman" w:hAnsi="Times New Roman"/>
          <w:sz w:val="24"/>
          <w:szCs w:val="24"/>
        </w:rPr>
        <w:t xml:space="preserve">, скорость </w:t>
      </w:r>
      <w:r>
        <w:rPr>
          <w:rFonts w:ascii="Times New Roman" w:cs="Times New Roman" w:hAnsi="Times New Roman"/>
          <w:sz w:val="24"/>
          <w:szCs w:val="24"/>
        </w:rPr>
        <w:t xml:space="preserve">его </w:t>
      </w:r>
      <w:r>
        <w:rPr>
          <w:rFonts w:ascii="Times New Roman" w:cs="Times New Roman" w:hAnsi="Times New Roman"/>
          <w:sz w:val="24"/>
          <w:szCs w:val="24"/>
        </w:rPr>
        <w:t xml:space="preserve">высвобождения и цитотоксичность </w:t>
      </w:r>
      <w:r>
        <w:rPr>
          <w:rFonts w:ascii="Times New Roman" w:cs="Times New Roman" w:hAnsi="Times New Roman"/>
          <w:sz w:val="24"/>
          <w:szCs w:val="24"/>
        </w:rPr>
        <w:t>наносомальной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формы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Растворной полимеризацией с раскрытием цикла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лактида</w:t>
      </w:r>
      <w:r>
        <w:rPr>
          <w:rFonts w:ascii="Times New Roman" w:cs="Times New Roman" w:hAnsi="Times New Roman"/>
          <w:sz w:val="24"/>
          <w:szCs w:val="24"/>
        </w:rPr>
        <w:t xml:space="preserve"> были синтезированы двойные блок-сополимеры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mPEG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</w:rPr>
        <w:t>113</w:t>
      </w: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cs="Times New Roman" w:hAnsi="Times New Roman"/>
          <w:color w:val="000000"/>
          <w:sz w:val="24"/>
          <w:szCs w:val="24"/>
        </w:rPr>
        <w:t>,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LA</w:t>
      </w:r>
      <w:r>
        <w:rPr>
          <w:rFonts w:ascii="Times New Roman" w:cs="Times New Roman" w:hAnsi="Times New Roman"/>
          <w:color w:val="000000"/>
          <w:sz w:val="24"/>
          <w:szCs w:val="24"/>
          <w:vertAlign w:val="subscript"/>
          <w:lang w:val="en-US"/>
        </w:rPr>
        <w:t>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со степенями полимеризации полилактидного блока 14, 33, 70. </w:t>
      </w:r>
      <w:r>
        <w:rPr>
          <w:rFonts w:ascii="Times New Roman" w:cs="Times New Roman" w:hAnsi="Times New Roman"/>
          <w:sz w:val="24"/>
          <w:szCs w:val="24"/>
        </w:rPr>
        <w:t>Частицы на основе PEG</w:t>
      </w:r>
      <w:r>
        <w:rPr>
          <w:rFonts w:ascii="Times New Roman" w:cs="Times New Roman" w:hAnsi="Times New Roman"/>
          <w:sz w:val="24"/>
          <w:szCs w:val="24"/>
          <w:vertAlign w:val="subscript"/>
        </w:rPr>
        <w:t>113</w:t>
      </w:r>
      <w:r>
        <w:rPr>
          <w:rFonts w:ascii="Times New Roman" w:cs="Times New Roman" w:hAnsi="Times New Roman"/>
          <w:sz w:val="24"/>
          <w:szCs w:val="24"/>
        </w:rPr>
        <w:t>-P(D,L)LA</w:t>
      </w:r>
      <w:r>
        <w:rPr>
          <w:rFonts w:ascii="Times New Roman" w:cs="Times New Roman" w:hAnsi="Times New Roman"/>
          <w:sz w:val="24"/>
          <w:szCs w:val="24"/>
          <w:vertAlign w:val="subscript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 с инкапсулированным оксалиплатином получали методом наноосаждения, массовая доля ЛС 5%. Содержание оксалиплатина в полученных наночастицах и эффективность загрузки составили для всех образцов 4.6 масс.% и 91 %. Увеличение длины гидрофобного блока от 14 до 70 звеньев не приводит к значительному увеличению содержания загруженного препарата в блок-сополимерных наночастицах, что может быть связано с преимущественной адсорбцией препарата на границе раздела «ядро-оболочка». По данным динамического светорассеяния полученные частицы характеризовались средним размером 20-25 нм. Изображения просвечивающей электронной микроскопии полученных наночастиц демонстрируют сферическую форму, а также узкое распределение по размерам и одинаковую морфологию.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Исследование высвобождения оксалиплатина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показало в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первые 20 мин увеличение количества высвободившегося ЛС с увеличением длины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P(D,L)LA-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блока,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что может быть связано с уменьшением плотности прививки цепей mPEG</w:t>
      </w:r>
      <w:r>
        <w:rPr>
          <w:rFonts w:ascii="Times New Roman" w:cs="Times New Roman" w:hAnsi="Times New Roman"/>
          <w:b w:val="off"/>
          <w:bCs w:val="off"/>
          <w:sz w:val="24"/>
          <w:szCs w:val="24"/>
          <w:vertAlign w:val="subscript"/>
          <w:lang w:val="ru-RU"/>
        </w:rPr>
        <w:t>113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. Однако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через 3 часа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все образцы демонстрируют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высвобождение препарата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около 90%. </w:t>
      </w:r>
      <w:r>
        <w:rPr>
          <w:rFonts w:ascii="Times New Roman" w:cs="Times New Roman" w:hAnsi="Times New Roman"/>
          <w:sz w:val="24"/>
          <w:szCs w:val="24"/>
        </w:rPr>
        <w:t>Цитотоксичность наночастиц PEG</w:t>
      </w:r>
      <w:r>
        <w:rPr>
          <w:rFonts w:ascii="Times New Roman" w:cs="Times New Roman" w:hAnsi="Times New Roman"/>
          <w:sz w:val="24"/>
          <w:szCs w:val="24"/>
          <w:vertAlign w:val="subscript"/>
        </w:rPr>
        <w:t>113</w:t>
      </w:r>
      <w:r>
        <w:rPr>
          <w:rFonts w:ascii="Times New Roman" w:cs="Times New Roman" w:hAnsi="Times New Roman"/>
          <w:sz w:val="24"/>
          <w:szCs w:val="24"/>
        </w:rPr>
        <w:t>-P(D,L)LA</w:t>
      </w:r>
      <w:r>
        <w:rPr>
          <w:rFonts w:ascii="Times New Roman" w:cs="Times New Roman" w:hAnsi="Times New Roman"/>
          <w:sz w:val="24"/>
          <w:szCs w:val="24"/>
          <w:vertAlign w:val="subscript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 исследовали на нескольких линиях клеток с помощью МТТ-теста.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Установлено, что ненагруженные частицы являются биосовместимыми, т.к. для них отсутствует цитотоксический эффект на всех линиях клеток. В составе наносомальной формы оксалиплатин сохраняет высокую пролиферативную активность. 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spacing w:after="0" w:line="240" w:lineRule="auto"/>
        <w:ind w:firstLine="397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Работа выполнена при финансовой поддержке РНФ (проект № 18-73-10079-П).</w:t>
      </w:r>
    </w:p>
    <w:p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spacing w:after="0" w:line="240" w:lineRule="auto"/>
        <w:ind w:firstLine="39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Литература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1.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Suk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J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Xu Q., Kim N. </w:t>
      </w:r>
      <w:r>
        <w:rPr>
          <w:rFonts w:ascii="Times New Roman" w:cs="Times New Roman" w:hAnsi="Times New Roman"/>
          <w:color w:val="000000"/>
          <w:sz w:val="24"/>
          <w:szCs w:val="24"/>
        </w:rPr>
        <w:t>[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et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al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.]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PEGylation as a strategy for improving nanoparticle-based drug and gene delivery // Adv. Drug Deliv. Rev. -2016. -V. 99. -P. 28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- 51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Sedush N.G.,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Kadina Y.A.,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Razuvaeva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E.V.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[et al.] Nanoformulations of Drugs Based on Biodegradable Lactide Copolymers with Various Molecular Structures and Architectures // Nanobiotechnology Reports. -2021. -V. 16. -P. 421- 438. </w:t>
      </w:r>
      <w:bookmarkStart w:id="0" w:name="_GoBack"/>
      <w:bookmarkEnd w:id="0"/>
    </w:p>
    <w:sectPr>
      <w:pgSz w:w="11906" w:h="16838"/>
      <w:pgMar w:top="1134" w:right="1361" w:bottom="1134" w:left="1361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3257AC" w15:done="0"/>
  <w15:commentEx w15:paraId="605A0EAA" w15:done="0"/>
  <w15:commentEx w15:paraId="5379C499" w15:done="0"/>
  <w15:commentEx w15:paraId="4F1C39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257AC" w16cid:durableId="2794DFF7"/>
  <w16cid:commentId w16cid:paraId="605A0EAA" w16cid:durableId="2794E463"/>
  <w16cid:commentId w16cid:paraId="5379C499" w16cid:durableId="2794EFE0"/>
  <w16cid:commentId w16cid:paraId="4F1C39A5" w16cid:durableId="2794F01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Юлия">
    <w15:presenceInfo w15:providerId="None" w15:userId="Юл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EB3"/>
    <w:rsid w:val="002302B9"/>
    <w:rsid w:val="002A1752"/>
    <w:rsid w:val="002D61C4"/>
    <w:rsid w:val="003B368E"/>
    <w:rsid w:val="0042151C"/>
    <w:rsid w:val="00443E6F"/>
    <w:rsid w:val="004B45B9"/>
    <w:rsid w:val="004C0DF7"/>
    <w:rsid w:val="004E281D"/>
    <w:rsid w:val="005D56D4"/>
    <w:rsid w:val="005F6717"/>
    <w:rsid w:val="00622CDD"/>
    <w:rsid w:val="007B5E9F"/>
    <w:rsid w:val="007E3A91"/>
    <w:rsid w:val="00880927"/>
    <w:rsid w:val="00884340"/>
    <w:rsid w:val="00922066"/>
    <w:rsid w:val="00924B89"/>
    <w:rsid w:val="009E4865"/>
    <w:rsid w:val="00A40FAA"/>
    <w:rsid w:val="00AA4AC5"/>
    <w:rsid w:val="00AE4459"/>
    <w:rsid w:val="00B8204F"/>
    <w:rsid w:val="00C36B95"/>
    <w:rsid w:val="00CF0EDC"/>
    <w:rsid w:val="00E60761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FBAB"/>
  <w15:docId w15:val="{AF8E005A-0F1F-4369-B63F-A00B6EFEDAF8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Заголовок2Знак"/>
    <w:uiPriority w:val="9"/>
    <w:semiHidden w:val="on"/>
    <w:unhideWhenUsed w:val="on"/>
    <w:qFormat w:val="on"/>
    <w:pPr>
      <w:widowControl w:val="off"/>
      <w:spacing w:before="0" w:line="360" w:lineRule="auto"/>
      <w:ind w:left="357"/>
      <w:jc w:val="both"/>
    </w:pPr>
    <w:rPr>
      <w:rFonts w:ascii="Times New Roman" w:hAnsi="Times New Roman"/>
      <w:bCs w:val="off"/>
      <w:color w:val="auto"/>
      <w:szCs w:val="26"/>
    </w:rPr>
  </w:style>
  <w:style w:type="paragraph" w:styleId="Heading3">
    <w:name w:val="Heading 3"/>
    <w:basedOn w:val="Heading2"/>
    <w:next w:val="Normal"/>
    <w:link w:val="Заголовок3Знак"/>
    <w:uiPriority w:val="9"/>
    <w:semiHidden w:val="on"/>
    <w:unhideWhenUsed w:val="on"/>
    <w:qFormat w:val="on"/>
    <w:pPr>
      <w:spacing w:line="240" w:lineRule="auto"/>
      <w:ind w:hanging="357"/>
    </w:pPr>
    <w:rPr>
      <w:b w:val="off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ЗаголовокЗнак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Heading2"/>
    <w:next w:val="Normal"/>
    <w:link w:val="ПодзаголовокЗнак"/>
    <w:uiPriority w:val="11"/>
    <w:qFormat w:val="on"/>
    <w:pPr>
      <w:spacing w:line="240" w:lineRule="auto"/>
      <w:ind w:left="0"/>
    </w:pPr>
    <w:rPr>
      <w:bCs/>
      <w:iCs/>
      <w:color w:val="000000" w:themeColor="text1"/>
      <w:spacing w:val="15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="Times New Roman" w:cstheme="majorBidi" w:eastAsiaTheme="majorEastAsia" w:hAnsi="Times New Roman"/>
      <w:b/>
      <w:iCs/>
      <w:color w:val="000000" w:themeColor="text1"/>
      <w:spacing w:val="15"/>
      <w:sz w:val="28"/>
      <w:szCs w:val="24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Times New Roman" w:cstheme="majorBidi" w:eastAsiaTheme="majorEastAsia" w:hAnsi="Times New Roman"/>
      <w:b/>
      <w:sz w:val="28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Times New Roman" w:cstheme="majorBidi" w:eastAsiaTheme="majorEastAsia" w:hAnsi="Times New Roman"/>
      <w:bCs/>
      <w:sz w:val="28"/>
      <w:szCs w:val="26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pPr>
      <w:spacing w:line="240" w:lineRule="auto"/>
    </w:pPr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b/>
      <w:bCs/>
      <w:sz w:val="20"/>
      <w:szCs w:val="20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6" Type="http://schemas.microsoft.com/office/2011/relationships/commentsExtended" Target="commentsExtended.xml"/><Relationship Id="rId7" Type="http://schemas.microsoft.com/office/2016/09/relationships/commentsIds" Target="commentsId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</dc:creator>
  <cp:lastModifiedBy>Author</cp:lastModifiedBy>
</cp:coreProperties>
</file>