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0241" w:rsidRPr="00BD5157" w:rsidRDefault="00BD5157" w:rsidP="00BD515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color w:val="000000"/>
          <w:highlight w:val="yellow"/>
        </w:rPr>
      </w:pPr>
      <w:r>
        <w:rPr>
          <w:b/>
          <w:color w:val="000000"/>
        </w:rPr>
        <w:t>Магнитные наночастицы магнетита, модифицированные полиакриловой кислотой, для сорбции флуоресцеиновых красителей</w:t>
      </w:r>
      <w:bookmarkStart w:id="0" w:name="_GoBack"/>
      <w:bookmarkEnd w:id="0"/>
    </w:p>
    <w:p w:rsidR="00130241" w:rsidRDefault="00BD515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i/>
          <w:color w:val="000000"/>
        </w:rPr>
        <w:t>Кузнецова Е.В</w:t>
      </w:r>
      <w:r w:rsidR="00EB1F49">
        <w:rPr>
          <w:b/>
          <w:i/>
          <w:color w:val="000000"/>
        </w:rPr>
        <w:t>.,</w:t>
      </w:r>
      <w:r>
        <w:rPr>
          <w:b/>
          <w:i/>
          <w:color w:val="000000"/>
        </w:rPr>
        <w:t xml:space="preserve"> Демидова А.С</w:t>
      </w:r>
      <w:r w:rsidR="00EB1F49">
        <w:rPr>
          <w:b/>
          <w:i/>
          <w:color w:val="000000"/>
        </w:rPr>
        <w:t>.</w:t>
      </w:r>
      <w:r>
        <w:rPr>
          <w:b/>
          <w:i/>
          <w:color w:val="000000"/>
        </w:rPr>
        <w:t>,</w:t>
      </w:r>
      <w:r>
        <w:rPr>
          <w:b/>
          <w:i/>
          <w:color w:val="000000"/>
          <w:vertAlign w:val="superscript"/>
        </w:rPr>
        <w:t xml:space="preserve"> </w:t>
      </w:r>
      <w:r>
        <w:rPr>
          <w:b/>
          <w:i/>
          <w:color w:val="000000"/>
        </w:rPr>
        <w:t>Казимирова К.О., Штыков С.Н.</w:t>
      </w:r>
    </w:p>
    <w:p w:rsidR="00130241" w:rsidRDefault="00BD515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Студент, 4 курс бакалавриата</w:t>
      </w:r>
    </w:p>
    <w:p w:rsidR="00130241" w:rsidRPr="00921D45" w:rsidRDefault="005144F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Сарат</w:t>
      </w:r>
      <w:r w:rsidR="00EB1F49">
        <w:rPr>
          <w:i/>
          <w:color w:val="000000"/>
        </w:rPr>
        <w:t xml:space="preserve">овский </w:t>
      </w:r>
      <w:r>
        <w:rPr>
          <w:i/>
          <w:color w:val="000000"/>
        </w:rPr>
        <w:t xml:space="preserve">национальный исследовательский </w:t>
      </w:r>
      <w:r w:rsidR="00EB1F49">
        <w:rPr>
          <w:i/>
          <w:color w:val="000000"/>
        </w:rPr>
        <w:t>гос</w:t>
      </w:r>
      <w:r>
        <w:rPr>
          <w:i/>
          <w:color w:val="000000"/>
        </w:rPr>
        <w:t>ударственный университет имени Н.Г</w:t>
      </w:r>
      <w:r w:rsidR="00EB1F49">
        <w:rPr>
          <w:i/>
          <w:color w:val="000000"/>
        </w:rPr>
        <w:t>.</w:t>
      </w:r>
      <w:r w:rsidR="00921D45">
        <w:rPr>
          <w:i/>
          <w:color w:val="000000"/>
        </w:rPr>
        <w:t xml:space="preserve"> </w:t>
      </w:r>
      <w:r>
        <w:rPr>
          <w:i/>
          <w:color w:val="000000"/>
        </w:rPr>
        <w:t>Чернышевского</w:t>
      </w:r>
      <w:r w:rsidR="00EB1F49">
        <w:rPr>
          <w:i/>
          <w:color w:val="000000"/>
        </w:rPr>
        <w:t>, </w:t>
      </w:r>
    </w:p>
    <w:p w:rsidR="00130241" w:rsidRPr="005144F5" w:rsidRDefault="005144F5" w:rsidP="005144F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>
        <w:rPr>
          <w:i/>
          <w:color w:val="000000"/>
        </w:rPr>
        <w:t>Институт химии, Саратов</w:t>
      </w:r>
      <w:r w:rsidR="00EB1F49">
        <w:rPr>
          <w:i/>
          <w:color w:val="000000"/>
        </w:rPr>
        <w:t>, Россия</w:t>
      </w:r>
    </w:p>
    <w:p w:rsidR="00130241" w:rsidRPr="009249B8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5144F5">
        <w:rPr>
          <w:i/>
          <w:color w:val="000000"/>
          <w:lang w:val="en-US"/>
        </w:rPr>
        <w:t>E</w:t>
      </w:r>
      <w:r w:rsidR="003B76D6" w:rsidRPr="009249B8">
        <w:rPr>
          <w:i/>
          <w:color w:val="000000"/>
        </w:rPr>
        <w:t>-</w:t>
      </w:r>
      <w:r w:rsidRPr="005144F5">
        <w:rPr>
          <w:i/>
          <w:color w:val="000000"/>
          <w:lang w:val="en-US"/>
        </w:rPr>
        <w:t>mail</w:t>
      </w:r>
      <w:r w:rsidRPr="009249B8">
        <w:rPr>
          <w:i/>
          <w:color w:val="000000"/>
        </w:rPr>
        <w:t xml:space="preserve">: </w:t>
      </w:r>
      <w:hyperlink r:id="rId6" w:history="1">
        <w:r w:rsidR="005144F5" w:rsidRPr="001F1BE6">
          <w:rPr>
            <w:rStyle w:val="a9"/>
            <w:i/>
            <w:lang w:val="en-US"/>
          </w:rPr>
          <w:t>Evgeniya</w:t>
        </w:r>
        <w:r w:rsidR="005144F5" w:rsidRPr="009249B8">
          <w:rPr>
            <w:rStyle w:val="a9"/>
            <w:i/>
          </w:rPr>
          <w:t>1709</w:t>
        </w:r>
        <w:r w:rsidR="005144F5" w:rsidRPr="001F1BE6">
          <w:rPr>
            <w:rStyle w:val="a9"/>
            <w:i/>
            <w:lang w:val="en-US"/>
          </w:rPr>
          <w:t>Kyznetsova</w:t>
        </w:r>
        <w:r w:rsidR="005144F5" w:rsidRPr="009249B8">
          <w:rPr>
            <w:rStyle w:val="a9"/>
            <w:i/>
          </w:rPr>
          <w:t>@</w:t>
        </w:r>
        <w:r w:rsidR="005144F5" w:rsidRPr="005144F5">
          <w:rPr>
            <w:rStyle w:val="a9"/>
            <w:i/>
            <w:lang w:val="en-US"/>
          </w:rPr>
          <w:t>yandex</w:t>
        </w:r>
        <w:r w:rsidR="005144F5" w:rsidRPr="009249B8">
          <w:rPr>
            <w:rStyle w:val="a9"/>
            <w:i/>
          </w:rPr>
          <w:t>.</w:t>
        </w:r>
        <w:r w:rsidR="005144F5" w:rsidRPr="005144F5">
          <w:rPr>
            <w:rStyle w:val="a9"/>
            <w:i/>
            <w:lang w:val="en-US"/>
          </w:rPr>
          <w:t>ru</w:t>
        </w:r>
      </w:hyperlink>
    </w:p>
    <w:p w:rsidR="005144F5" w:rsidRPr="007B4D16" w:rsidRDefault="00036FED" w:rsidP="005144F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</w:pPr>
      <w:r w:rsidRPr="007B4D16">
        <w:t xml:space="preserve">Магнитные наночастицы </w:t>
      </w:r>
      <w:r w:rsidR="009F2D15" w:rsidRPr="007B4D16">
        <w:t xml:space="preserve">(МНЧ) </w:t>
      </w:r>
      <w:r w:rsidRPr="007B4D16">
        <w:t xml:space="preserve">обладают </w:t>
      </w:r>
      <w:r w:rsidR="0038182C" w:rsidRPr="007B4D16">
        <w:t>высокоразвитой активной поверхностью</w:t>
      </w:r>
      <w:r w:rsidR="00E55B57" w:rsidRPr="007B4D16">
        <w:t xml:space="preserve"> и, как следствие, высокой сорбционной способностью</w:t>
      </w:r>
      <w:r w:rsidR="009F2D15" w:rsidRPr="007B4D16">
        <w:t>. Суперпарамагнитные свойства, большая удельная площадь поверхности наноразмер</w:t>
      </w:r>
      <w:r w:rsidR="005A68D8" w:rsidRPr="007B4D16">
        <w:t>н</w:t>
      </w:r>
      <w:r w:rsidR="009F2D15" w:rsidRPr="007B4D16">
        <w:t>ы</w:t>
      </w:r>
      <w:r w:rsidR="005A68D8" w:rsidRPr="007B4D16">
        <w:t>х</w:t>
      </w:r>
      <w:r w:rsidR="009F2D15" w:rsidRPr="007B4D16">
        <w:t xml:space="preserve"> частиц</w:t>
      </w:r>
      <w:r w:rsidR="005A68D8" w:rsidRPr="007B4D16">
        <w:t>,</w:t>
      </w:r>
      <w:r w:rsidR="009F2D15" w:rsidRPr="007B4D16">
        <w:t xml:space="preserve"> </w:t>
      </w:r>
      <w:r w:rsidR="0038182C" w:rsidRPr="007B4D16">
        <w:t>позволяют проводить быстрое эффективное отделение</w:t>
      </w:r>
      <w:r w:rsidR="00E55B57" w:rsidRPr="007B4D16">
        <w:t xml:space="preserve"> аналита от матричного раствора постоянным магнитом </w:t>
      </w:r>
      <w:r w:rsidR="00685150" w:rsidRPr="007B4D16">
        <w:t>непосредственно в химическом стакане</w:t>
      </w:r>
      <w:r w:rsidR="00E55B57" w:rsidRPr="007B4D16">
        <w:t>. Для предотвращения</w:t>
      </w:r>
      <w:r w:rsidR="0038182C" w:rsidRPr="007B4D16">
        <w:t xml:space="preserve"> агрегации в раств</w:t>
      </w:r>
      <w:r w:rsidR="00E55B57" w:rsidRPr="007B4D16">
        <w:t>оре увеличения</w:t>
      </w:r>
      <w:r w:rsidR="0038182C" w:rsidRPr="007B4D16">
        <w:t xml:space="preserve"> стабильност</w:t>
      </w:r>
      <w:r w:rsidR="00E55B57" w:rsidRPr="007B4D16">
        <w:t>и</w:t>
      </w:r>
      <w:r w:rsidR="00685150" w:rsidRPr="007B4D16">
        <w:t xml:space="preserve"> МНЧ в растворе</w:t>
      </w:r>
      <w:r w:rsidR="00E55B57" w:rsidRPr="007B4D16">
        <w:t>, эффективности</w:t>
      </w:r>
      <w:r w:rsidR="00685150" w:rsidRPr="007B4D16">
        <w:t xml:space="preserve"> сорбции их</w:t>
      </w:r>
      <w:r w:rsidR="00E55B57" w:rsidRPr="007B4D16">
        <w:t xml:space="preserve"> поверхность модифицируют, покрывая защитной оболочкой органической природы, имеющей заряд</w:t>
      </w:r>
      <w:r w:rsidR="00685150" w:rsidRPr="007B4D16">
        <w:t>, например</w:t>
      </w:r>
      <w:r w:rsidR="00E55B57" w:rsidRPr="007B4D16">
        <w:t xml:space="preserve"> полиэтиленимин</w:t>
      </w:r>
      <w:r w:rsidR="00532240" w:rsidRPr="007B4D16">
        <w:t>ом</w:t>
      </w:r>
      <w:r w:rsidR="00E55B57" w:rsidRPr="007B4D16">
        <w:t>, полиакрилов</w:t>
      </w:r>
      <w:r w:rsidR="00532240" w:rsidRPr="007B4D16">
        <w:t>ой кислотой</w:t>
      </w:r>
      <w:r w:rsidR="00E55B57" w:rsidRPr="007B4D16">
        <w:t xml:space="preserve"> (ПАК), хитозан</w:t>
      </w:r>
      <w:r w:rsidR="00532240" w:rsidRPr="007B4D16">
        <w:t>ом</w:t>
      </w:r>
      <w:r w:rsidR="00685150" w:rsidRPr="007B4D16">
        <w:t xml:space="preserve"> или </w:t>
      </w:r>
      <w:r w:rsidR="00532240" w:rsidRPr="007B4D16">
        <w:t>диоксидом кремния</w:t>
      </w:r>
      <w:r w:rsidR="008C6001" w:rsidRPr="007B4D16">
        <w:t xml:space="preserve"> [1</w:t>
      </w:r>
      <w:r w:rsidR="00E93E68" w:rsidRPr="007B4D16">
        <w:t>,2</w:t>
      </w:r>
      <w:r w:rsidR="008C6001" w:rsidRPr="007B4D16">
        <w:t>].</w:t>
      </w:r>
    </w:p>
    <w:p w:rsidR="0038182C" w:rsidRPr="007B4D16" w:rsidRDefault="0038182C" w:rsidP="005144F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</w:pPr>
      <w:r w:rsidRPr="007B4D16">
        <w:t>В настоящей</w:t>
      </w:r>
      <w:r w:rsidR="00E55B57" w:rsidRPr="007B4D16">
        <w:t xml:space="preserve"> работе </w:t>
      </w:r>
      <w:r w:rsidR="00532240" w:rsidRPr="007B4D16">
        <w:t>синтез</w:t>
      </w:r>
      <w:r w:rsidR="00AF096B" w:rsidRPr="007B4D16">
        <w:t>ированы</w:t>
      </w:r>
      <w:r w:rsidR="00532240" w:rsidRPr="007B4D16">
        <w:t xml:space="preserve"> магнитны</w:t>
      </w:r>
      <w:r w:rsidR="00AF096B" w:rsidRPr="007B4D16">
        <w:t>е</w:t>
      </w:r>
      <w:r w:rsidR="00532240" w:rsidRPr="007B4D16">
        <w:t xml:space="preserve"> наночастиц</w:t>
      </w:r>
      <w:r w:rsidR="00AF096B" w:rsidRPr="007B4D16">
        <w:t>ы</w:t>
      </w:r>
      <w:r w:rsidR="00532240" w:rsidRPr="007B4D16">
        <w:t xml:space="preserve"> магнетита методом химического соосаждения</w:t>
      </w:r>
      <w:r w:rsidR="00AF096B" w:rsidRPr="007B4D16">
        <w:t xml:space="preserve"> в щелочной среде</w:t>
      </w:r>
      <w:r w:rsidR="00532240" w:rsidRPr="007B4D16">
        <w:t>:</w:t>
      </w:r>
    </w:p>
    <w:p w:rsidR="00AF096B" w:rsidRPr="007B4D16" w:rsidRDefault="003317E5" w:rsidP="00AF096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</w:pPr>
      <m:oMath>
        <m:sSup>
          <m:sSupPr>
            <m:ctrlPr>
              <w:rPr>
                <w:rFonts w:ascii="Cambria Math" w:hAnsi="Cambria Math"/>
                <w:i/>
                <w:color w:val="000000"/>
              </w:rPr>
            </m:ctrlPr>
          </m:sSupPr>
          <m:e>
            <m:r>
              <w:rPr>
                <w:rFonts w:ascii="Cambria Math" w:hAnsi="Cambria Math"/>
                <w:color w:val="000000"/>
                <w:lang w:val="en-US"/>
              </w:rPr>
              <m:t>Fe</m:t>
            </m:r>
          </m:e>
          <m:sup>
            <m:r>
              <w:rPr>
                <w:rFonts w:ascii="Cambria Math" w:hAnsi="Cambria Math"/>
                <w:color w:val="000000"/>
              </w:rPr>
              <m:t>2+</m:t>
            </m:r>
          </m:sup>
        </m:sSup>
        <m:r>
          <w:rPr>
            <w:rFonts w:ascii="Cambria Math" w:hAnsi="Cambria Math"/>
            <w:color w:val="000000"/>
          </w:rPr>
          <m:t>+</m:t>
        </m:r>
        <m:sSup>
          <m:sSupPr>
            <m:ctrlPr>
              <w:rPr>
                <w:rFonts w:ascii="Cambria Math" w:hAnsi="Cambria Math"/>
                <w:i/>
                <w:color w:val="000000"/>
              </w:rPr>
            </m:ctrlPr>
          </m:sSupPr>
          <m:e>
            <m:r>
              <w:rPr>
                <w:rFonts w:ascii="Cambria Math" w:hAnsi="Cambria Math"/>
                <w:color w:val="000000"/>
              </w:rPr>
              <m:t>2Fe</m:t>
            </m:r>
          </m:e>
          <m:sup>
            <m:r>
              <w:rPr>
                <w:rFonts w:ascii="Cambria Math" w:hAnsi="Cambria Math"/>
                <w:color w:val="000000"/>
              </w:rPr>
              <m:t>3+</m:t>
            </m:r>
          </m:sup>
        </m:sSup>
        <m:r>
          <w:rPr>
            <w:rFonts w:ascii="Cambria Math" w:hAnsi="Cambria Math"/>
            <w:color w:val="000000"/>
          </w:rPr>
          <m:t>+</m:t>
        </m:r>
        <m:sSup>
          <m:sSupPr>
            <m:ctrlPr>
              <w:rPr>
                <w:rFonts w:ascii="Cambria Math" w:hAnsi="Cambria Math"/>
                <w:i/>
                <w:color w:val="000000"/>
              </w:rPr>
            </m:ctrlPr>
          </m:sSupPr>
          <m:e>
            <m:r>
              <w:rPr>
                <w:rFonts w:ascii="Cambria Math" w:hAnsi="Cambria Math"/>
                <w:color w:val="000000"/>
              </w:rPr>
              <m:t>8OH</m:t>
            </m:r>
          </m:e>
          <m:sup>
            <m:r>
              <w:rPr>
                <w:rFonts w:ascii="Cambria Math" w:hAnsi="Cambria Math"/>
                <w:color w:val="000000"/>
              </w:rPr>
              <m:t>-</m:t>
            </m:r>
          </m:sup>
        </m:sSup>
        <m:r>
          <w:rPr>
            <w:rFonts w:ascii="Cambria Math" w:hAnsi="Cambria Math"/>
            <w:color w:val="000000"/>
          </w:rPr>
          <m:t xml:space="preserve">= </m:t>
        </m:r>
        <m:sSub>
          <m:sSubPr>
            <m:ctrlPr>
              <w:rPr>
                <w:rFonts w:ascii="Cambria Math" w:hAnsi="Cambria Math"/>
                <w:i/>
                <w:color w:val="000000"/>
              </w:rPr>
            </m:ctrlPr>
          </m:sSubPr>
          <m:e>
            <m:r>
              <w:rPr>
                <w:rFonts w:ascii="Cambria Math" w:hAnsi="Cambria Math"/>
                <w:color w:val="000000"/>
              </w:rPr>
              <m:t>Fe</m:t>
            </m:r>
          </m:e>
          <m:sub>
            <m:r>
              <w:rPr>
                <w:rFonts w:ascii="Cambria Math" w:hAnsi="Cambria Math"/>
                <w:color w:val="000000"/>
              </w:rPr>
              <m:t>3</m:t>
            </m:r>
          </m:sub>
        </m:sSub>
        <m:sSub>
          <m:sSubPr>
            <m:ctrlPr>
              <w:rPr>
                <w:rFonts w:ascii="Cambria Math" w:hAnsi="Cambria Math"/>
                <w:i/>
                <w:color w:val="000000"/>
              </w:rPr>
            </m:ctrlPr>
          </m:sSubPr>
          <m:e>
            <m:r>
              <w:rPr>
                <w:rFonts w:ascii="Cambria Math" w:hAnsi="Cambria Math"/>
                <w:color w:val="000000"/>
              </w:rPr>
              <m:t>O</m:t>
            </m:r>
          </m:e>
          <m:sub>
            <m:r>
              <w:rPr>
                <w:rFonts w:ascii="Cambria Math" w:hAnsi="Cambria Math"/>
                <w:color w:val="000000"/>
              </w:rPr>
              <m:t>4</m:t>
            </m:r>
          </m:sub>
        </m:sSub>
        <m:r>
          <w:rPr>
            <w:rFonts w:ascii="Cambria Math" w:hAnsi="Cambria Math"/>
            <w:color w:val="000000"/>
          </w:rPr>
          <m:t xml:space="preserve">↓ + </m:t>
        </m:r>
        <m:sSub>
          <m:sSubPr>
            <m:ctrlPr>
              <w:rPr>
                <w:rFonts w:ascii="Cambria Math" w:hAnsi="Cambria Math"/>
                <w:i/>
                <w:color w:val="000000"/>
              </w:rPr>
            </m:ctrlPr>
          </m:sSubPr>
          <m:e>
            <m:r>
              <w:rPr>
                <w:rFonts w:ascii="Cambria Math" w:hAnsi="Cambria Math"/>
                <w:color w:val="000000"/>
              </w:rPr>
              <m:t>4H</m:t>
            </m:r>
          </m:e>
          <m:sub>
            <m:r>
              <w:rPr>
                <w:rFonts w:ascii="Cambria Math" w:hAnsi="Cambria Math"/>
                <w:color w:val="000000"/>
              </w:rPr>
              <m:t>2</m:t>
            </m:r>
          </m:sub>
        </m:sSub>
        <m:r>
          <w:rPr>
            <w:rFonts w:ascii="Cambria Math" w:hAnsi="Cambria Math"/>
            <w:color w:val="000000"/>
          </w:rPr>
          <m:t>O</m:t>
        </m:r>
      </m:oMath>
      <w:r w:rsidR="00AF096B" w:rsidRPr="007B4D16">
        <w:t>,</w:t>
      </w:r>
    </w:p>
    <w:p w:rsidR="00EF566A" w:rsidRPr="007B4D16" w:rsidRDefault="00AF096B" w:rsidP="00AF096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</w:pPr>
      <w:r w:rsidRPr="007B4D16">
        <w:t>поверхность которых</w:t>
      </w:r>
      <w:r w:rsidR="00532240" w:rsidRPr="007B4D16">
        <w:t xml:space="preserve"> модифи</w:t>
      </w:r>
      <w:r w:rsidRPr="007B4D16">
        <w:t>цировали</w:t>
      </w:r>
      <w:r w:rsidR="00532240" w:rsidRPr="007B4D16">
        <w:t xml:space="preserve"> </w:t>
      </w:r>
      <w:r w:rsidR="00BE38A1" w:rsidRPr="007B4D16">
        <w:t xml:space="preserve">анионным полиэлектролитом – </w:t>
      </w:r>
      <w:r w:rsidR="00532240" w:rsidRPr="007B4D16">
        <w:t xml:space="preserve">ПАК. </w:t>
      </w:r>
      <w:r w:rsidRPr="007B4D16">
        <w:t>Согласно данным просвечивающей электронной микроскопии</w:t>
      </w:r>
      <w:r w:rsidR="00403177" w:rsidRPr="007B4D16">
        <w:t xml:space="preserve"> р</w:t>
      </w:r>
      <w:r w:rsidR="00532240" w:rsidRPr="007B4D16">
        <w:t xml:space="preserve">азмер </w:t>
      </w:r>
      <w:r w:rsidR="00403177" w:rsidRPr="007B4D16">
        <w:t xml:space="preserve">МНЧ </w:t>
      </w:r>
      <w:r w:rsidR="00532240" w:rsidRPr="007B4D16">
        <w:t>составил 15</w:t>
      </w:r>
      <w:r w:rsidRPr="007B4D16">
        <w:t xml:space="preserve"> </w:t>
      </w:r>
      <w:r w:rsidR="00532240" w:rsidRPr="007B4D16">
        <w:t>±</w:t>
      </w:r>
      <w:r w:rsidRPr="007B4D16">
        <w:t xml:space="preserve"> </w:t>
      </w:r>
      <w:r w:rsidR="00532240" w:rsidRPr="007B4D16">
        <w:t>2 нм, ζ-потенциал</w:t>
      </w:r>
      <w:r w:rsidR="00403177" w:rsidRPr="007B4D16">
        <w:t>, полученный методом динамического рассеяния света</w:t>
      </w:r>
      <w:r w:rsidR="00E93E68" w:rsidRPr="007B4D16">
        <w:t>,</w:t>
      </w:r>
      <w:r w:rsidR="00532240" w:rsidRPr="007B4D16">
        <w:t xml:space="preserve"> -</w:t>
      </w:r>
      <w:r w:rsidR="00AA5600" w:rsidRPr="007B4D16">
        <w:t>30</w:t>
      </w:r>
      <w:r w:rsidR="00403177" w:rsidRPr="007B4D16">
        <w:t xml:space="preserve"> </w:t>
      </w:r>
      <w:r w:rsidR="00AA5600" w:rsidRPr="007B4D16">
        <w:t>±</w:t>
      </w:r>
      <w:r w:rsidR="00403177" w:rsidRPr="007B4D16">
        <w:t xml:space="preserve"> </w:t>
      </w:r>
      <w:r w:rsidR="00BE38A1" w:rsidRPr="007B4D16">
        <w:t>2 мВ. Объектами сорбции являлись флуоресцеиновые</w:t>
      </w:r>
      <w:r w:rsidR="00AA5600" w:rsidRPr="007B4D16">
        <w:t xml:space="preserve"> красител</w:t>
      </w:r>
      <w:r w:rsidR="00403177" w:rsidRPr="007B4D16">
        <w:t>и</w:t>
      </w:r>
      <w:r w:rsidR="00EF566A" w:rsidRPr="007B4D16">
        <w:t xml:space="preserve"> кислотного характера</w:t>
      </w:r>
      <w:r w:rsidR="00AA5600" w:rsidRPr="007B4D16">
        <w:t>: эри</w:t>
      </w:r>
      <w:r w:rsidR="00EF566A" w:rsidRPr="007B4D16">
        <w:t>трозин, эозин и флуоресцеин</w:t>
      </w:r>
      <w:r w:rsidR="00F839D7" w:rsidRPr="007B4D16">
        <w:t xml:space="preserve"> (рис.)</w:t>
      </w:r>
      <w:r w:rsidR="00EF566A" w:rsidRPr="007B4D16">
        <w:t>.</w:t>
      </w:r>
    </w:p>
    <w:p w:rsidR="00F839D7" w:rsidRPr="007B4D16" w:rsidRDefault="003317E5" w:rsidP="0053224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</w:pPr>
      <w:r w:rsidRPr="007B4D16"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1996440</wp:posOffset>
            </wp:positionH>
            <wp:positionV relativeFrom="paragraph">
              <wp:posOffset>200025</wp:posOffset>
            </wp:positionV>
            <wp:extent cx="1638300" cy="1238250"/>
            <wp:effectExtent l="0" t="0" r="0" b="0"/>
            <wp:wrapTopAndBottom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0" cy="1238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839D7" w:rsidRPr="007B4D16" w:rsidRDefault="00F839D7" w:rsidP="0010040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center"/>
      </w:pPr>
      <w:r w:rsidRPr="007B4D16">
        <w:t>Рис. Структурная формула флуоресцеина и его производных</w:t>
      </w:r>
      <w:r w:rsidR="00973A6E" w:rsidRPr="007B4D16">
        <w:t>:</w:t>
      </w:r>
      <w:r w:rsidRPr="007B4D16">
        <w:t xml:space="preserve"> эозин</w:t>
      </w:r>
      <w:r w:rsidR="00973A6E" w:rsidRPr="007B4D16">
        <w:t>а</w:t>
      </w:r>
      <w:r w:rsidRPr="007B4D16">
        <w:t xml:space="preserve">, </w:t>
      </w:r>
      <w:r w:rsidR="00973A6E" w:rsidRPr="007B4D16">
        <w:t>(</w:t>
      </w:r>
      <w:r w:rsidRPr="007B4D16">
        <w:t>2,4,5,7-тетрабромфлуоресцеин</w:t>
      </w:r>
      <w:r w:rsidR="00233E02" w:rsidRPr="007B4D16">
        <w:t>а</w:t>
      </w:r>
      <w:r w:rsidR="00973A6E" w:rsidRPr="007B4D16">
        <w:t>) и</w:t>
      </w:r>
      <w:r w:rsidRPr="007B4D16">
        <w:t xml:space="preserve"> эритрозин</w:t>
      </w:r>
      <w:r w:rsidR="00973A6E" w:rsidRPr="007B4D16">
        <w:t>а</w:t>
      </w:r>
      <w:r w:rsidRPr="007B4D16">
        <w:t xml:space="preserve"> </w:t>
      </w:r>
      <w:r w:rsidR="00973A6E" w:rsidRPr="007B4D16">
        <w:t>(</w:t>
      </w:r>
      <w:r w:rsidRPr="007B4D16">
        <w:t>2,4,5,7-тетраиодфлуоресцеин</w:t>
      </w:r>
      <w:r w:rsidR="00973A6E" w:rsidRPr="007B4D16">
        <w:t>а</w:t>
      </w:r>
      <w:r w:rsidRPr="007B4D16">
        <w:t>)</w:t>
      </w:r>
    </w:p>
    <w:p w:rsidR="00F839D7" w:rsidRPr="007B4D16" w:rsidRDefault="00F839D7" w:rsidP="0010040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</w:pPr>
      <w:r w:rsidRPr="007B4D16">
        <w:t xml:space="preserve"> </w:t>
      </w:r>
    </w:p>
    <w:p w:rsidR="00EF566A" w:rsidRPr="007B4D16" w:rsidRDefault="00EF566A" w:rsidP="00EF566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</w:pPr>
      <w:r w:rsidRPr="007B4D16">
        <w:t>О</w:t>
      </w:r>
      <w:r w:rsidR="00AA5600" w:rsidRPr="007B4D16">
        <w:t>ценено влияние различных условий на степень извлечения</w:t>
      </w:r>
      <w:r w:rsidR="00973A6E" w:rsidRPr="007B4D16">
        <w:t xml:space="preserve"> красителей</w:t>
      </w:r>
      <w:r w:rsidR="00AA5600" w:rsidRPr="007B4D16">
        <w:t>: рН-среды, массы сорбента, времени перемешивания, концентрации красителя, построены изотермы сорбции. Изучена десорбция красителей при разных объемах и концентраци</w:t>
      </w:r>
      <w:r w:rsidR="00973A6E" w:rsidRPr="007B4D16">
        <w:t>ях</w:t>
      </w:r>
      <w:r w:rsidR="00AA5600" w:rsidRPr="007B4D16">
        <w:t xml:space="preserve"> элюента гидроксида натрия.</w:t>
      </w:r>
      <w:r w:rsidRPr="007B4D16">
        <w:t xml:space="preserve"> Показано, что сорбция определяется несколькими факторами: зарядом молекул красителей, их гидрофобностью, возможностью образования водородных связей с ПАК. </w:t>
      </w:r>
    </w:p>
    <w:p w:rsidR="00A02163" w:rsidRPr="007B4D16" w:rsidRDefault="00EF566A" w:rsidP="00A0216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i/>
          <w:iCs/>
        </w:rPr>
      </w:pPr>
      <w:r w:rsidRPr="007B4D16">
        <w:rPr>
          <w:i/>
          <w:iCs/>
        </w:rPr>
        <w:t>Работа выполнена при поддержке РНФ (проект №</w:t>
      </w:r>
      <w:r w:rsidR="00973A6E" w:rsidRPr="007B4D16">
        <w:rPr>
          <w:i/>
          <w:iCs/>
        </w:rPr>
        <w:t xml:space="preserve"> </w:t>
      </w:r>
      <w:r w:rsidRPr="007B4D16">
        <w:rPr>
          <w:i/>
          <w:iCs/>
        </w:rPr>
        <w:t>21-13-00267).</w:t>
      </w:r>
    </w:p>
    <w:p w:rsidR="00130241" w:rsidRPr="007B4D16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</w:pPr>
      <w:r w:rsidRPr="007B4D16">
        <w:rPr>
          <w:b/>
        </w:rPr>
        <w:t>Литература</w:t>
      </w:r>
    </w:p>
    <w:p w:rsidR="00AA29FC" w:rsidRPr="007B4D16" w:rsidRDefault="00116478" w:rsidP="00AA29FC">
      <w:pPr>
        <w:pStyle w:val="a5"/>
        <w:autoSpaceDE w:val="0"/>
        <w:autoSpaceDN w:val="0"/>
        <w:adjustRightInd w:val="0"/>
        <w:ind w:left="0"/>
        <w:rPr>
          <w:rFonts w:eastAsia="TimesNewRomanPSMT"/>
        </w:rPr>
      </w:pPr>
      <w:r w:rsidRPr="007B4D16">
        <w:t xml:space="preserve">1. </w:t>
      </w:r>
      <w:r w:rsidR="00AA29FC" w:rsidRPr="007B4D16">
        <w:rPr>
          <w:rFonts w:eastAsia="TimesNewRomanPS-ItalicMT"/>
          <w:iCs/>
        </w:rPr>
        <w:t xml:space="preserve">Егунова О.Р., Константинова Т.А., Штыков С.Н. // </w:t>
      </w:r>
      <w:r w:rsidR="00AA29FC" w:rsidRPr="007B4D16">
        <w:rPr>
          <w:rFonts w:eastAsia="TimesNewRomanPSMT"/>
        </w:rPr>
        <w:t>Изв. Саратовск. ун-та. Нов. серия. Сер: Химия. Биология. Экология. 2014. Т. 14, № 4. С. 27–34.</w:t>
      </w:r>
    </w:p>
    <w:p w:rsidR="00973A6E" w:rsidRPr="007B4D16" w:rsidRDefault="00AA29FC" w:rsidP="0006396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</w:pPr>
      <w:r w:rsidRPr="007B4D16">
        <w:t xml:space="preserve">2. </w:t>
      </w:r>
      <w:r w:rsidR="008C6001" w:rsidRPr="007B4D16">
        <w:t>Казимирова К.О</w:t>
      </w:r>
      <w:r w:rsidR="00116478" w:rsidRPr="007B4D16">
        <w:t xml:space="preserve">., </w:t>
      </w:r>
      <w:r w:rsidR="008C6001" w:rsidRPr="007B4D16">
        <w:t xml:space="preserve">Штыков С.Н. </w:t>
      </w:r>
      <w:r w:rsidR="00116478" w:rsidRPr="007B4D16">
        <w:t xml:space="preserve">// </w:t>
      </w:r>
      <w:r w:rsidR="008C6001" w:rsidRPr="007B4D16">
        <w:t>Изв. Сарат</w:t>
      </w:r>
      <w:r w:rsidRPr="007B4D16">
        <w:t>овск</w:t>
      </w:r>
      <w:r w:rsidR="008C6001" w:rsidRPr="007B4D16">
        <w:t>. ун-та</w:t>
      </w:r>
      <w:r w:rsidR="00116478" w:rsidRPr="007B4D16">
        <w:t xml:space="preserve">. </w:t>
      </w:r>
      <w:r w:rsidR="008C6001" w:rsidRPr="007B4D16">
        <w:t xml:space="preserve">Нов. серия. Сер: Химия. Биология. Экология. 2018. Т. 18, </w:t>
      </w:r>
      <w:r w:rsidRPr="007B4D16">
        <w:t>№</w:t>
      </w:r>
      <w:r w:rsidR="008C6001" w:rsidRPr="007B4D16">
        <w:t>.2. С. 126</w:t>
      </w:r>
      <w:r w:rsidRPr="007B4D16">
        <w:t>‒1</w:t>
      </w:r>
      <w:r w:rsidR="008C6001" w:rsidRPr="007B4D16">
        <w:t>33</w:t>
      </w:r>
      <w:r w:rsidR="00116478" w:rsidRPr="007B4D16">
        <w:t>.</w:t>
      </w:r>
    </w:p>
    <w:sectPr w:rsidR="00973A6E" w:rsidRPr="007B4D16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imesNewRomanPS-Italic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0241"/>
    <w:rsid w:val="00036FED"/>
    <w:rsid w:val="00063966"/>
    <w:rsid w:val="00086081"/>
    <w:rsid w:val="0010040A"/>
    <w:rsid w:val="00101A1C"/>
    <w:rsid w:val="00106375"/>
    <w:rsid w:val="00116478"/>
    <w:rsid w:val="00130241"/>
    <w:rsid w:val="001B32CE"/>
    <w:rsid w:val="001E61C2"/>
    <w:rsid w:val="001F0493"/>
    <w:rsid w:val="002264EE"/>
    <w:rsid w:val="0023307C"/>
    <w:rsid w:val="00233E02"/>
    <w:rsid w:val="0031361E"/>
    <w:rsid w:val="003317E5"/>
    <w:rsid w:val="0038182C"/>
    <w:rsid w:val="00391C38"/>
    <w:rsid w:val="003B76D6"/>
    <w:rsid w:val="00403177"/>
    <w:rsid w:val="00457E1A"/>
    <w:rsid w:val="004A26A3"/>
    <w:rsid w:val="004F0EDF"/>
    <w:rsid w:val="005144F5"/>
    <w:rsid w:val="00522BF1"/>
    <w:rsid w:val="00532240"/>
    <w:rsid w:val="0055077D"/>
    <w:rsid w:val="00557C2B"/>
    <w:rsid w:val="00590166"/>
    <w:rsid w:val="005A68D8"/>
    <w:rsid w:val="00685150"/>
    <w:rsid w:val="006F7A19"/>
    <w:rsid w:val="00775389"/>
    <w:rsid w:val="00797838"/>
    <w:rsid w:val="007B4D16"/>
    <w:rsid w:val="007C36D8"/>
    <w:rsid w:val="007C79A7"/>
    <w:rsid w:val="007F2744"/>
    <w:rsid w:val="008931BE"/>
    <w:rsid w:val="008C6001"/>
    <w:rsid w:val="00921D45"/>
    <w:rsid w:val="009249B8"/>
    <w:rsid w:val="00973A6E"/>
    <w:rsid w:val="00996D25"/>
    <w:rsid w:val="009A66DB"/>
    <w:rsid w:val="009B2F80"/>
    <w:rsid w:val="009B3300"/>
    <w:rsid w:val="009F2D15"/>
    <w:rsid w:val="009F3380"/>
    <w:rsid w:val="00A02163"/>
    <w:rsid w:val="00A314FE"/>
    <w:rsid w:val="00AA29FC"/>
    <w:rsid w:val="00AA5600"/>
    <w:rsid w:val="00AF096B"/>
    <w:rsid w:val="00BD5157"/>
    <w:rsid w:val="00BE38A1"/>
    <w:rsid w:val="00BF36F8"/>
    <w:rsid w:val="00BF4622"/>
    <w:rsid w:val="00C670D6"/>
    <w:rsid w:val="00CD00B1"/>
    <w:rsid w:val="00D22306"/>
    <w:rsid w:val="00D42542"/>
    <w:rsid w:val="00D80D47"/>
    <w:rsid w:val="00D8121C"/>
    <w:rsid w:val="00E22189"/>
    <w:rsid w:val="00E55B57"/>
    <w:rsid w:val="00E74069"/>
    <w:rsid w:val="00E93E68"/>
    <w:rsid w:val="00EB1F49"/>
    <w:rsid w:val="00EF566A"/>
    <w:rsid w:val="00F839D7"/>
    <w:rsid w:val="00F865B3"/>
    <w:rsid w:val="00FB1509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2D33ECE-D82D-4275-8F90-D40EEDDEF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uiPriority w:val="99"/>
    <w:unhideWhenUsed/>
    <w:rsid w:val="00F865B3"/>
    <w:rPr>
      <w:color w:val="0000FF"/>
      <w:u w:val="single"/>
    </w:rPr>
  </w:style>
  <w:style w:type="character" w:customStyle="1" w:styleId="UnresolvedMention">
    <w:name w:val="Unresolved Mention"/>
    <w:uiPriority w:val="99"/>
    <w:semiHidden/>
    <w:unhideWhenUsed/>
    <w:rsid w:val="00F865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Evgeniya1709Kyznetsova@yandex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3A1A7A2-4A12-44F0-81CF-E2F3D63AD6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373</Words>
  <Characters>2130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2499</CharactersWithSpaces>
  <SharedDoc>false</SharedDoc>
  <HLinks>
    <vt:vector size="6" baseType="variant">
      <vt:variant>
        <vt:i4>4718702</vt:i4>
      </vt:variant>
      <vt:variant>
        <vt:i4>0</vt:i4>
      </vt:variant>
      <vt:variant>
        <vt:i4>0</vt:i4>
      </vt:variant>
      <vt:variant>
        <vt:i4>5</vt:i4>
      </vt:variant>
      <vt:variant>
        <vt:lpwstr>mailto:Evgeniya1709Kyznetsova@yandex.ru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Евгения Кузнецова</dc:creator>
  <cp:keywords/>
  <cp:lastModifiedBy>Евгения Кузнецова</cp:lastModifiedBy>
  <cp:revision>2</cp:revision>
  <dcterms:created xsi:type="dcterms:W3CDTF">2023-02-14T18:50:00Z</dcterms:created>
  <dcterms:modified xsi:type="dcterms:W3CDTF">2023-02-14T18:50:00Z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