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0361" w14:textId="4E98A415" w:rsidR="00140E4D" w:rsidRPr="00476A0B" w:rsidRDefault="00140E4D" w:rsidP="00140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Новые неподвижные фазы на основе эпоксидированной матрицы</w:t>
      </w:r>
      <w:r w:rsidR="001C5A5A">
        <w:rPr>
          <w:b/>
          <w:color w:val="000000"/>
        </w:rPr>
        <w:t xml:space="preserve"> с привитыми </w:t>
      </w:r>
      <w:proofErr w:type="spellStart"/>
      <w:r w:rsidR="001C5A5A">
        <w:rPr>
          <w:b/>
          <w:color w:val="000000"/>
        </w:rPr>
        <w:t>полиэтиленимином</w:t>
      </w:r>
      <w:proofErr w:type="spellEnd"/>
      <w:r w:rsidR="001C5A5A">
        <w:rPr>
          <w:b/>
          <w:color w:val="000000"/>
        </w:rPr>
        <w:t xml:space="preserve"> и полиэлектролитами</w:t>
      </w:r>
    </w:p>
    <w:p w14:paraId="0DAC683F" w14:textId="620C9799" w:rsidR="00140E4D" w:rsidRPr="00476A0B" w:rsidRDefault="00140E4D" w:rsidP="00140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</w:rPr>
      </w:pPr>
      <w:r w:rsidRPr="00476A0B">
        <w:rPr>
          <w:b/>
          <w:i/>
        </w:rPr>
        <w:t>Тимичев А.А., Горбовская А.В.</w:t>
      </w:r>
    </w:p>
    <w:p w14:paraId="2A2801B8" w14:textId="77777777" w:rsidR="00140E4D" w:rsidRPr="00476A0B" w:rsidRDefault="00140E4D" w:rsidP="00140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476A0B">
        <w:rPr>
          <w:i/>
          <w:color w:val="000000"/>
        </w:rPr>
        <w:t xml:space="preserve">Студент, </w:t>
      </w:r>
      <w:r>
        <w:rPr>
          <w:i/>
          <w:color w:val="000000"/>
        </w:rPr>
        <w:t>4</w:t>
      </w:r>
      <w:r w:rsidRPr="00476A0B">
        <w:rPr>
          <w:i/>
          <w:color w:val="000000"/>
        </w:rPr>
        <w:t xml:space="preserve"> курс специалитета</w:t>
      </w:r>
    </w:p>
    <w:p w14:paraId="5BD6B899" w14:textId="77777777" w:rsidR="00140E4D" w:rsidRPr="00476A0B" w:rsidRDefault="00140E4D" w:rsidP="00140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476A0B">
        <w:rPr>
          <w:i/>
          <w:color w:val="000000"/>
        </w:rPr>
        <w:t>Московский государственный университет имени М.В. Ломоносова, </w:t>
      </w:r>
    </w:p>
    <w:p w14:paraId="5774ADBB" w14:textId="77777777" w:rsidR="00140E4D" w:rsidRPr="00476A0B" w:rsidRDefault="00140E4D" w:rsidP="00140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476A0B">
        <w:rPr>
          <w:i/>
          <w:color w:val="000000"/>
        </w:rPr>
        <w:t>химический факультет, Москва, Россия</w:t>
      </w:r>
    </w:p>
    <w:p w14:paraId="3239CB35" w14:textId="77777777" w:rsidR="00140E4D" w:rsidRPr="00476A0B" w:rsidRDefault="00140E4D" w:rsidP="00140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476A0B">
        <w:rPr>
          <w:i/>
          <w:color w:val="000000"/>
          <w:lang w:val="en-US"/>
        </w:rPr>
        <w:t>E</w:t>
      </w:r>
      <w:r w:rsidRPr="00476A0B">
        <w:rPr>
          <w:i/>
          <w:color w:val="000000"/>
        </w:rPr>
        <w:t>-</w:t>
      </w:r>
      <w:r w:rsidRPr="00476A0B">
        <w:rPr>
          <w:i/>
          <w:color w:val="000000"/>
          <w:lang w:val="en-US"/>
        </w:rPr>
        <w:t>mail</w:t>
      </w:r>
      <w:r w:rsidRPr="00476A0B">
        <w:rPr>
          <w:i/>
          <w:color w:val="000000"/>
        </w:rPr>
        <w:t xml:space="preserve">: </w:t>
      </w:r>
      <w:proofErr w:type="spellStart"/>
      <w:r w:rsidRPr="00F17C0C">
        <w:rPr>
          <w:i/>
          <w:lang w:val="en-US"/>
        </w:rPr>
        <w:t>timsenin</w:t>
      </w:r>
      <w:proofErr w:type="spellEnd"/>
      <w:r w:rsidRPr="00F17C0C">
        <w:rPr>
          <w:i/>
        </w:rPr>
        <w:t>@</w:t>
      </w:r>
      <w:proofErr w:type="spellStart"/>
      <w:r w:rsidRPr="00F17C0C">
        <w:rPr>
          <w:i/>
          <w:lang w:val="en-US"/>
        </w:rPr>
        <w:t>gmail</w:t>
      </w:r>
      <w:proofErr w:type="spellEnd"/>
      <w:r w:rsidRPr="00F17C0C">
        <w:rPr>
          <w:i/>
        </w:rPr>
        <w:t>.</w:t>
      </w:r>
      <w:r w:rsidRPr="00F17C0C">
        <w:rPr>
          <w:i/>
          <w:lang w:val="en-US"/>
        </w:rPr>
        <w:t>com</w:t>
      </w:r>
    </w:p>
    <w:p w14:paraId="6E3575C9" w14:textId="7BBF81C1" w:rsidR="00140E4D" w:rsidRDefault="00AC3BD6" w:rsidP="00140E4D">
      <w:pPr>
        <w:ind w:firstLine="567"/>
        <w:jc w:val="both"/>
      </w:pPr>
      <w:r>
        <w:t xml:space="preserve">Одной из основных </w:t>
      </w:r>
      <w:r w:rsidR="00140E4D">
        <w:t>задач современной ионной хроматографии является создание неподвижных фаз, обладающих высокой эффективностью и селективностью хроматографического разделения. Особый интерес представляет создание гидрофильных сорбентов, т.к. для них уменьшен вклад</w:t>
      </w:r>
      <w:r>
        <w:t xml:space="preserve"> в удерживание аналитов</w:t>
      </w:r>
      <w:r w:rsidR="00140E4D">
        <w:t xml:space="preserve"> неионообменных взаимодействий, которые ведут к ухудшению эффективности разделения. Долгое время основным подходом к созданию неподвижных фаз для ионной хроматографии было электростатическое закрепление ионообменного слоя на поверхности сульфированной полимерной матрицы. </w:t>
      </w:r>
      <w:r w:rsidR="0049771B">
        <w:t>П</w:t>
      </w:r>
      <w:r w:rsidR="00140E4D">
        <w:t xml:space="preserve">оследнее </w:t>
      </w:r>
      <w:r w:rsidR="006959ED">
        <w:t>годы</w:t>
      </w:r>
      <w:r w:rsidR="00140E4D">
        <w:t xml:space="preserve"> все большее внимание исследователей привлекает возможность ковалентного </w:t>
      </w:r>
      <w:r w:rsidR="00140E4D" w:rsidRPr="004847DD">
        <w:t>за</w:t>
      </w:r>
      <w:r w:rsidR="00140E4D">
        <w:t xml:space="preserve">крепления функционального слоя в связи с альтернативной селективностью данных фаз. </w:t>
      </w:r>
      <w:r w:rsidR="008C3325">
        <w:t>Отработанным в лаборатории хроматографии</w:t>
      </w:r>
      <w:r>
        <w:t xml:space="preserve"> </w:t>
      </w:r>
      <w:r w:rsidR="00140E4D">
        <w:t>способом активации поверхности матрицы для ковалентного закрепления</w:t>
      </w:r>
      <w:r w:rsidR="008C3325">
        <w:t xml:space="preserve"> функционального слоя</w:t>
      </w:r>
      <w:r w:rsidR="00140E4D">
        <w:t xml:space="preserve"> является ацилирование ароматических колец</w:t>
      </w:r>
      <w:r w:rsidR="008C3325">
        <w:t xml:space="preserve"> полистирол-дивинилбензола</w:t>
      </w:r>
      <w:r w:rsidR="00140E4D">
        <w:t xml:space="preserve">, входящих в её структуру, с последующим восстановительным аминированием. </w:t>
      </w:r>
      <w:r w:rsidR="0049771B" w:rsidRPr="0049771B">
        <w:t>Однако</w:t>
      </w:r>
      <w:r w:rsidR="00140E4D">
        <w:t xml:space="preserve"> данный подход ведет к увеличению гидрофобности неподвижной фазы</w:t>
      </w:r>
      <w:r>
        <w:t>,</w:t>
      </w:r>
      <w:r w:rsidR="00140E4D">
        <w:t xml:space="preserve"> </w:t>
      </w:r>
      <w:r>
        <w:t>поскольку часть аминогрупп вводится в поры частиц, а</w:t>
      </w:r>
      <w:r w:rsidR="001C5A5A">
        <w:t>, следовательно,</w:t>
      </w:r>
      <w:r>
        <w:t xml:space="preserve"> часть </w:t>
      </w:r>
      <w:proofErr w:type="spellStart"/>
      <w:r>
        <w:t>ионнобменного</w:t>
      </w:r>
      <w:proofErr w:type="spellEnd"/>
      <w:r>
        <w:t xml:space="preserve"> слоя, полученного на такой матрице, будет находиться в гидрофобном окружении. </w:t>
      </w:r>
      <w:r w:rsidR="00140E4D">
        <w:t>Ещё одним подходом к активации матрицы является введение эп</w:t>
      </w:r>
      <w:r w:rsidR="008C3325">
        <w:t>оксидных групп на её поверхность</w:t>
      </w:r>
      <w:r w:rsidR="0049771B">
        <w:t>,</w:t>
      </w:r>
      <w:r w:rsidR="00140E4D">
        <w:t xml:space="preserve"> </w:t>
      </w:r>
      <w:r w:rsidR="0049771B">
        <w:t xml:space="preserve">но </w:t>
      </w:r>
      <w:r w:rsidR="00140E4D">
        <w:t>попытки использования различных эфиров (</w:t>
      </w:r>
      <w:proofErr w:type="spellStart"/>
      <w:r w:rsidR="00140E4D">
        <w:t>глицедилметакрилата</w:t>
      </w:r>
      <w:proofErr w:type="spellEnd"/>
      <w:r w:rsidR="00140E4D">
        <w:t xml:space="preserve">, </w:t>
      </w:r>
      <w:proofErr w:type="spellStart"/>
      <w:r w:rsidR="00140E4D">
        <w:t>аллилглицидилового</w:t>
      </w:r>
      <w:proofErr w:type="spellEnd"/>
      <w:r w:rsidR="00140E4D">
        <w:t xml:space="preserve"> эфира)</w:t>
      </w:r>
      <w:r w:rsidR="008C3325">
        <w:t xml:space="preserve"> </w:t>
      </w:r>
      <w:r w:rsidR="00140E4D">
        <w:t>показали недостаточную стабильность</w:t>
      </w:r>
      <w:r w:rsidR="008C3325">
        <w:t xml:space="preserve"> получаемых неподвижных фаз</w:t>
      </w:r>
      <w:r w:rsidR="00140E4D">
        <w:t xml:space="preserve"> при использовании гидроксидного элюента.</w:t>
      </w:r>
    </w:p>
    <w:p w14:paraId="13F48F71" w14:textId="06646A62" w:rsidR="00140E4D" w:rsidRDefault="00140E4D" w:rsidP="00140E4D">
      <w:pPr>
        <w:ind w:firstLine="567"/>
        <w:jc w:val="both"/>
      </w:pPr>
      <w:r>
        <w:t>В данной работе получен</w:t>
      </w:r>
      <w:r w:rsidR="008C3325">
        <w:t>ы</w:t>
      </w:r>
      <w:r>
        <w:t xml:space="preserve"> сорбент</w:t>
      </w:r>
      <w:r w:rsidR="001C5A5A">
        <w:t>ы</w:t>
      </w:r>
      <w:r>
        <w:t xml:space="preserve"> с использованием нового подхода к активации матрицы – </w:t>
      </w:r>
      <w:r w:rsidR="00F17C0C">
        <w:t xml:space="preserve">эпоксидирования </w:t>
      </w:r>
      <w:r>
        <w:t>поверхностных двойных связей сополимера стирола с дивинилбензолом с помощью м-</w:t>
      </w:r>
      <w:proofErr w:type="spellStart"/>
      <w:r>
        <w:t>хлорпербензойной</w:t>
      </w:r>
      <w:proofErr w:type="spellEnd"/>
      <w:r>
        <w:t xml:space="preserve"> кислоты. </w:t>
      </w:r>
      <w:r w:rsidR="001C5A5A">
        <w:t>На</w:t>
      </w:r>
      <w:r>
        <w:t xml:space="preserve"> основе </w:t>
      </w:r>
      <w:proofErr w:type="spellStart"/>
      <w:r w:rsidR="00B71A1C">
        <w:t>эпоксидированного</w:t>
      </w:r>
      <w:proofErr w:type="spellEnd"/>
      <w:r w:rsidR="00B71A1C">
        <w:t xml:space="preserve"> полимера </w:t>
      </w:r>
      <w:r w:rsidR="009239AC">
        <w:t>синтезирован</w:t>
      </w:r>
      <w:r w:rsidR="001C5A5A">
        <w:t>а</w:t>
      </w:r>
      <w:r w:rsidR="00B71A1C">
        <w:t xml:space="preserve"> неподвижн</w:t>
      </w:r>
      <w:r w:rsidR="001C5A5A">
        <w:t>ая</w:t>
      </w:r>
      <w:r w:rsidR="00B71A1C">
        <w:t xml:space="preserve"> фаз</w:t>
      </w:r>
      <w:r w:rsidR="001C5A5A">
        <w:t>а</w:t>
      </w:r>
      <w:r w:rsidR="00B71A1C">
        <w:t xml:space="preserve"> </w:t>
      </w:r>
      <w:r>
        <w:t>с ковалентно привитым</w:t>
      </w:r>
      <w:r w:rsidR="001C5A5A">
        <w:t>и</w:t>
      </w:r>
      <w:r w:rsidR="00B71A1C">
        <w:t xml:space="preserve"> </w:t>
      </w:r>
      <w:proofErr w:type="spellStart"/>
      <w:r w:rsidR="00B71A1C">
        <w:t>полиэтиленимином</w:t>
      </w:r>
      <w:proofErr w:type="spellEnd"/>
      <w:r>
        <w:t xml:space="preserve"> </w:t>
      </w:r>
      <w:r w:rsidR="00B71A1C">
        <w:t xml:space="preserve">и </w:t>
      </w:r>
      <w:proofErr w:type="spellStart"/>
      <w:r>
        <w:t>полиэлектролитными</w:t>
      </w:r>
      <w:proofErr w:type="spellEnd"/>
      <w:r>
        <w:t xml:space="preserve"> цепочками</w:t>
      </w:r>
      <w:r w:rsidR="00B71A1C">
        <w:t>, полученными</w:t>
      </w:r>
      <w:r>
        <w:t xml:space="preserve"> из 1,4-бутандиолдиглицидолового эфира и </w:t>
      </w:r>
      <w:proofErr w:type="spellStart"/>
      <w:r>
        <w:t>метил</w:t>
      </w:r>
      <w:r w:rsidR="009239AC">
        <w:t>этанол</w:t>
      </w:r>
      <w:r>
        <w:t>амина</w:t>
      </w:r>
      <w:proofErr w:type="spellEnd"/>
      <w:r>
        <w:t xml:space="preserve">. С целью </w:t>
      </w:r>
      <w:r w:rsidR="000C3B11">
        <w:t xml:space="preserve">повышения степени </w:t>
      </w:r>
      <w:r>
        <w:t xml:space="preserve">гидрофилизации </w:t>
      </w:r>
      <w:r w:rsidR="000C3B11">
        <w:t>и экранирования матрицы</w:t>
      </w:r>
      <w:r w:rsidR="001C5A5A">
        <w:t xml:space="preserve"> за счет полимеризации глицидола</w:t>
      </w:r>
      <w:r w:rsidR="000C3B11">
        <w:t xml:space="preserve"> </w:t>
      </w:r>
      <w:r>
        <w:t xml:space="preserve">получен </w:t>
      </w:r>
      <w:r w:rsidR="001C5A5A">
        <w:t xml:space="preserve">аналогичный </w:t>
      </w:r>
      <w:r w:rsidR="000C3B11">
        <w:t>сорбент</w:t>
      </w:r>
      <w:r>
        <w:t xml:space="preserve">, дополнительно </w:t>
      </w:r>
      <w:r w:rsidR="001C5A5A">
        <w:t xml:space="preserve">обработанный </w:t>
      </w:r>
      <w:r>
        <w:t>глицидолом</w:t>
      </w:r>
      <w:r w:rsidR="001C5A5A">
        <w:t xml:space="preserve"> в щелочной среде</w:t>
      </w:r>
      <w:r>
        <w:t>.</w:t>
      </w:r>
    </w:p>
    <w:p w14:paraId="282F996D" w14:textId="697CDE65" w:rsidR="00140E4D" w:rsidRPr="00B301CD" w:rsidRDefault="00140E4D" w:rsidP="00140E4D">
      <w:pPr>
        <w:ind w:firstLine="567"/>
        <w:jc w:val="both"/>
      </w:pPr>
      <w:r>
        <w:t xml:space="preserve">Полученные неподвижные фазы </w:t>
      </w:r>
      <w:r w:rsidR="001C5A5A">
        <w:t>тестировали</w:t>
      </w:r>
      <w:r>
        <w:t xml:space="preserve"> в режиме </w:t>
      </w:r>
      <w:r w:rsidR="003D6B20">
        <w:t>ионной хроматографии</w:t>
      </w:r>
      <w:r>
        <w:t xml:space="preserve"> с подавлением фоновой электропроводности с использования гидроксида калия в качестве подвижной фазы в изократическом и градиентном режимах элюирования. </w:t>
      </w:r>
      <w:r w:rsidR="001C5A5A">
        <w:t>Исследовали</w:t>
      </w:r>
      <w:r w:rsidR="000C3B11">
        <w:t xml:space="preserve"> селективность фаз по отношению к</w:t>
      </w:r>
      <w:r>
        <w:t xml:space="preserve"> </w:t>
      </w:r>
      <w:r w:rsidRPr="00B301CD">
        <w:t>7 стандартны</w:t>
      </w:r>
      <w:r w:rsidR="0049771B" w:rsidRPr="0049771B">
        <w:t>м</w:t>
      </w:r>
      <w:r w:rsidRPr="00B301CD">
        <w:t xml:space="preserve"> неорганически</w:t>
      </w:r>
      <w:r w:rsidR="0049771B">
        <w:t>м</w:t>
      </w:r>
      <w:r w:rsidRPr="00B301CD">
        <w:t xml:space="preserve"> анион</w:t>
      </w:r>
      <w:r w:rsidR="0049771B">
        <w:t>ам</w:t>
      </w:r>
      <w:r w:rsidRPr="00B301CD">
        <w:t xml:space="preserve"> (F</w:t>
      </w:r>
      <w:r w:rsidRPr="00B301CD">
        <w:rPr>
          <w:vertAlign w:val="superscript"/>
        </w:rPr>
        <w:t>-</w:t>
      </w:r>
      <w:r w:rsidRPr="00B301CD">
        <w:t xml:space="preserve">, </w:t>
      </w:r>
      <w:proofErr w:type="spellStart"/>
      <w:r w:rsidRPr="00B301CD">
        <w:t>Cl</w:t>
      </w:r>
      <w:proofErr w:type="spellEnd"/>
      <w:r w:rsidRPr="00B301CD">
        <w:rPr>
          <w:vertAlign w:val="superscript"/>
        </w:rPr>
        <w:t>-</w:t>
      </w:r>
      <w:r w:rsidRPr="00B301CD">
        <w:t>, NO</w:t>
      </w:r>
      <w:r w:rsidRPr="00B301CD">
        <w:rPr>
          <w:vertAlign w:val="subscript"/>
        </w:rPr>
        <w:t>2</w:t>
      </w:r>
      <w:r w:rsidRPr="00B301CD">
        <w:rPr>
          <w:vertAlign w:val="superscript"/>
        </w:rPr>
        <w:t>-</w:t>
      </w:r>
      <w:r w:rsidRPr="00B301CD">
        <w:t xml:space="preserve">, </w:t>
      </w:r>
      <w:proofErr w:type="spellStart"/>
      <w:r w:rsidRPr="00B301CD">
        <w:t>Br</w:t>
      </w:r>
      <w:proofErr w:type="spellEnd"/>
      <w:r w:rsidRPr="00B301CD">
        <w:rPr>
          <w:vertAlign w:val="superscript"/>
        </w:rPr>
        <w:t>-</w:t>
      </w:r>
      <w:r w:rsidRPr="00B301CD">
        <w:t>, NO</w:t>
      </w:r>
      <w:r w:rsidRPr="00B301CD">
        <w:rPr>
          <w:vertAlign w:val="subscript"/>
        </w:rPr>
        <w:t>3</w:t>
      </w:r>
      <w:r w:rsidRPr="00B301CD">
        <w:rPr>
          <w:vertAlign w:val="superscript"/>
        </w:rPr>
        <w:t>-</w:t>
      </w:r>
      <w:r w:rsidRPr="00B301CD">
        <w:t>, SO</w:t>
      </w:r>
      <w:r w:rsidRPr="00B301CD">
        <w:rPr>
          <w:vertAlign w:val="subscript"/>
        </w:rPr>
        <w:t>4</w:t>
      </w:r>
      <w:r w:rsidRPr="00B301CD">
        <w:rPr>
          <w:vertAlign w:val="superscript"/>
        </w:rPr>
        <w:t>2-</w:t>
      </w:r>
      <w:r w:rsidRPr="00B301CD">
        <w:t>, PO</w:t>
      </w:r>
      <w:r w:rsidRPr="00B301CD">
        <w:rPr>
          <w:vertAlign w:val="subscript"/>
        </w:rPr>
        <w:t>4</w:t>
      </w:r>
      <w:r w:rsidRPr="00B301CD">
        <w:rPr>
          <w:vertAlign w:val="superscript"/>
        </w:rPr>
        <w:t>3-</w:t>
      </w:r>
      <w:r w:rsidRPr="00B301CD">
        <w:t xml:space="preserve">), </w:t>
      </w:r>
      <w:proofErr w:type="spellStart"/>
      <w:r w:rsidRPr="00B301CD">
        <w:t>оксогалогенид</w:t>
      </w:r>
      <w:r w:rsidR="0049771B">
        <w:t>ам</w:t>
      </w:r>
      <w:proofErr w:type="spellEnd"/>
      <w:r w:rsidRPr="00B301CD">
        <w:t xml:space="preserve"> (C</w:t>
      </w:r>
      <w:proofErr w:type="spellStart"/>
      <w:r w:rsidRPr="00B301CD">
        <w:rPr>
          <w:lang w:val="en-US"/>
        </w:rPr>
        <w:t>lO</w:t>
      </w:r>
      <w:proofErr w:type="spellEnd"/>
      <w:r w:rsidRPr="00B301CD">
        <w:rPr>
          <w:vertAlign w:val="subscript"/>
        </w:rPr>
        <w:t>2</w:t>
      </w:r>
      <w:r w:rsidRPr="00B301CD">
        <w:rPr>
          <w:vertAlign w:val="superscript"/>
        </w:rPr>
        <w:t>-</w:t>
      </w:r>
      <w:r w:rsidRPr="00B301CD">
        <w:t xml:space="preserve">, </w:t>
      </w:r>
      <w:r w:rsidRPr="00B301CD">
        <w:rPr>
          <w:lang w:val="en-US"/>
        </w:rPr>
        <w:t>BrO</w:t>
      </w:r>
      <w:r w:rsidRPr="00B301CD">
        <w:rPr>
          <w:vertAlign w:val="subscript"/>
        </w:rPr>
        <w:t>3</w:t>
      </w:r>
      <w:r w:rsidRPr="00B301CD">
        <w:rPr>
          <w:vertAlign w:val="superscript"/>
        </w:rPr>
        <w:t>-</w:t>
      </w:r>
      <w:r w:rsidRPr="00B301CD">
        <w:t xml:space="preserve">, </w:t>
      </w:r>
      <w:r w:rsidRPr="00B301CD">
        <w:rPr>
          <w:lang w:val="en-US"/>
        </w:rPr>
        <w:t>ClO</w:t>
      </w:r>
      <w:r w:rsidRPr="00B301CD">
        <w:rPr>
          <w:vertAlign w:val="subscript"/>
        </w:rPr>
        <w:t>3</w:t>
      </w:r>
      <w:r w:rsidRPr="00B301CD">
        <w:rPr>
          <w:vertAlign w:val="superscript"/>
        </w:rPr>
        <w:t>-</w:t>
      </w:r>
      <w:r w:rsidRPr="00B301CD">
        <w:t>), одно- и двухзарядны</w:t>
      </w:r>
      <w:r w:rsidR="0049771B">
        <w:t>м</w:t>
      </w:r>
      <w:r w:rsidRPr="00B301CD">
        <w:t xml:space="preserve"> анион</w:t>
      </w:r>
      <w:r w:rsidR="0049771B">
        <w:t>ам</w:t>
      </w:r>
      <w:r w:rsidRPr="00B301CD">
        <w:t xml:space="preserve"> органических кислот</w:t>
      </w:r>
      <w:r>
        <w:t xml:space="preserve">, </w:t>
      </w:r>
      <w:proofErr w:type="spellStart"/>
      <w:r>
        <w:t>сильнополяризуемы</w:t>
      </w:r>
      <w:r w:rsidR="0049771B">
        <w:t>м</w:t>
      </w:r>
      <w:proofErr w:type="spellEnd"/>
      <w:r>
        <w:t xml:space="preserve"> анион</w:t>
      </w:r>
      <w:r w:rsidR="0049771B">
        <w:t>ам</w:t>
      </w:r>
      <w:r>
        <w:t xml:space="preserve"> (</w:t>
      </w:r>
      <w:r>
        <w:rPr>
          <w:lang w:val="en-US"/>
        </w:rPr>
        <w:t>S</w:t>
      </w:r>
      <w:r w:rsidRPr="00B301CD">
        <w:rPr>
          <w:vertAlign w:val="subscript"/>
        </w:rPr>
        <w:t>2</w:t>
      </w:r>
      <w:r>
        <w:rPr>
          <w:lang w:val="en-US"/>
        </w:rPr>
        <w:t>O</w:t>
      </w:r>
      <w:r w:rsidRPr="00B301CD">
        <w:rPr>
          <w:vertAlign w:val="subscript"/>
        </w:rPr>
        <w:t>3</w:t>
      </w:r>
      <w:r w:rsidRPr="00B301CD">
        <w:rPr>
          <w:vertAlign w:val="superscript"/>
        </w:rPr>
        <w:t>2-</w:t>
      </w:r>
      <w:r w:rsidRPr="00B301CD">
        <w:t xml:space="preserve">, </w:t>
      </w:r>
      <w:r>
        <w:rPr>
          <w:lang w:val="en-US"/>
        </w:rPr>
        <w:t>I</w:t>
      </w:r>
      <w:r w:rsidRPr="00B301CD">
        <w:rPr>
          <w:vertAlign w:val="superscript"/>
        </w:rPr>
        <w:t>-</w:t>
      </w:r>
      <w:r w:rsidRPr="00B301CD">
        <w:t xml:space="preserve">, </w:t>
      </w:r>
      <w:r>
        <w:rPr>
          <w:lang w:val="en-US"/>
        </w:rPr>
        <w:t>SCN</w:t>
      </w:r>
      <w:r w:rsidRPr="00B301CD">
        <w:rPr>
          <w:vertAlign w:val="superscript"/>
        </w:rPr>
        <w:t>-</w:t>
      </w:r>
      <w:r w:rsidRPr="00B301CD">
        <w:t xml:space="preserve">, </w:t>
      </w:r>
      <w:r>
        <w:rPr>
          <w:lang w:val="en-US"/>
        </w:rPr>
        <w:t>ClO</w:t>
      </w:r>
      <w:r w:rsidRPr="00B301CD">
        <w:rPr>
          <w:vertAlign w:val="subscript"/>
        </w:rPr>
        <w:t>4</w:t>
      </w:r>
      <w:r w:rsidRPr="00B301CD">
        <w:rPr>
          <w:vertAlign w:val="superscript"/>
        </w:rPr>
        <w:t>-</w:t>
      </w:r>
      <w:r w:rsidRPr="00B301CD">
        <w:t>). Т</w:t>
      </w:r>
      <w:r>
        <w:t xml:space="preserve">акже </w:t>
      </w:r>
      <w:r w:rsidR="000C3B11">
        <w:t>изучили</w:t>
      </w:r>
      <w:r w:rsidR="001C5A5A">
        <w:t xml:space="preserve"> возможность</w:t>
      </w:r>
      <w:r w:rsidR="000C3B11">
        <w:t xml:space="preserve"> применения таких сорбентов в качестве многофункциональных </w:t>
      </w:r>
      <w:r>
        <w:t xml:space="preserve">в режимах гидрофильной </w:t>
      </w:r>
      <w:r w:rsidR="001C5A5A">
        <w:t xml:space="preserve">хроматографии </w:t>
      </w:r>
      <w:r>
        <w:t>и обращено-фазовой ВЭЖХ.</w:t>
      </w:r>
    </w:p>
    <w:p w14:paraId="0203C7CC" w14:textId="77777777" w:rsidR="008C3325" w:rsidRDefault="008C3325" w:rsidP="00140E4D">
      <w:pPr>
        <w:rPr>
          <w:rStyle w:val="tlid-translation"/>
          <w:i/>
        </w:rPr>
      </w:pPr>
    </w:p>
    <w:p w14:paraId="3486C755" w14:textId="6C9A999B" w:rsidR="00116478" w:rsidRPr="00140E4D" w:rsidRDefault="008C3325" w:rsidP="00140E4D">
      <w:r w:rsidRPr="00894131">
        <w:rPr>
          <w:rStyle w:val="tlid-translation"/>
          <w:i/>
        </w:rPr>
        <w:t xml:space="preserve">Работа выполнена при поддержке Российского научного фонда в рамках гранта </w:t>
      </w:r>
      <w:r w:rsidRPr="00894131">
        <w:rPr>
          <w:i/>
        </w:rPr>
        <w:t>№ 20-13-00140.</w:t>
      </w:r>
    </w:p>
    <w:sectPr w:rsidR="00116478" w:rsidRPr="00140E4D" w:rsidSect="00DA0E1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82926">
    <w:abstractNumId w:val="0"/>
  </w:num>
  <w:num w:numId="2" w16cid:durableId="78828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C3B11"/>
    <w:rsid w:val="00101A1C"/>
    <w:rsid w:val="00106375"/>
    <w:rsid w:val="00116478"/>
    <w:rsid w:val="00130241"/>
    <w:rsid w:val="00140E4D"/>
    <w:rsid w:val="001C5A5A"/>
    <w:rsid w:val="001E61C2"/>
    <w:rsid w:val="001F0493"/>
    <w:rsid w:val="002264EE"/>
    <w:rsid w:val="0023307C"/>
    <w:rsid w:val="0031361E"/>
    <w:rsid w:val="00391C38"/>
    <w:rsid w:val="003B76D6"/>
    <w:rsid w:val="003D6B20"/>
    <w:rsid w:val="0049771B"/>
    <w:rsid w:val="004A26A3"/>
    <w:rsid w:val="004F0EDF"/>
    <w:rsid w:val="00522BF1"/>
    <w:rsid w:val="00590166"/>
    <w:rsid w:val="0069427D"/>
    <w:rsid w:val="006959ED"/>
    <w:rsid w:val="006B762A"/>
    <w:rsid w:val="006F7A19"/>
    <w:rsid w:val="00775389"/>
    <w:rsid w:val="0078077C"/>
    <w:rsid w:val="00797838"/>
    <w:rsid w:val="007C36D8"/>
    <w:rsid w:val="007C52B6"/>
    <w:rsid w:val="007F2744"/>
    <w:rsid w:val="008931BE"/>
    <w:rsid w:val="008C3325"/>
    <w:rsid w:val="00921D45"/>
    <w:rsid w:val="009239AC"/>
    <w:rsid w:val="009A66DB"/>
    <w:rsid w:val="009B2F80"/>
    <w:rsid w:val="009B3300"/>
    <w:rsid w:val="009F3380"/>
    <w:rsid w:val="00A02163"/>
    <w:rsid w:val="00A314FE"/>
    <w:rsid w:val="00AC3BD6"/>
    <w:rsid w:val="00AE6B87"/>
    <w:rsid w:val="00B71A1C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17C0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DFB0605-5E0F-B548-AD13-54FDDE0B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C3B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3BD6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C52B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C52B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C52B6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52B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52B6"/>
    <w:rPr>
      <w:rFonts w:ascii="Times New Roman" w:eastAsia="Times New Roman" w:hAnsi="Times New Roman" w:cs="Times New Roman"/>
      <w:b/>
      <w:bCs/>
    </w:rPr>
  </w:style>
  <w:style w:type="paragraph" w:styleId="af1">
    <w:name w:val="Revision"/>
    <w:hidden/>
    <w:uiPriority w:val="99"/>
    <w:semiHidden/>
    <w:rsid w:val="0049771B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rsid w:val="008C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D02D59-9D88-46EA-A89F-EE4E0570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Арсений Тимичев</cp:lastModifiedBy>
  <cp:revision>2</cp:revision>
  <dcterms:created xsi:type="dcterms:W3CDTF">2023-02-16T18:52:00Z</dcterms:created>
  <dcterms:modified xsi:type="dcterms:W3CDTF">2023-02-16T18:52:00Z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