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default" w:ascii="Times New Roman" w:hAnsi="Times New Roman" w:cs="Times New Roman"/>
          <w:i w:val="0"/>
          <w:i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ru-RU"/>
        </w:rPr>
        <w:t xml:space="preserve">Семантико-синтаксический анализ частнооценочных наречий 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ru-RU"/>
        </w:rPr>
        <w:br w:type="textWrapping"/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ru-RU"/>
        </w:rPr>
        <w:t>(на примере наречий эстетической оценки)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ru-RU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ru-RU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ru-RU"/>
        </w:rPr>
        <w:t>Панич Мария Борисовна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ru-RU"/>
        </w:rPr>
        <w:br w:type="textWrapping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default" w:ascii="Times New Roman" w:hAnsi="Times New Roman" w:eastAsia="sans-serif" w:cs="Times New Roman"/>
          <w:i w:val="0"/>
          <w:iCs w:val="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kern w:val="0"/>
          <w:sz w:val="24"/>
          <w:szCs w:val="24"/>
          <w:lang w:val="ru-RU" w:eastAsia="zh-CN" w:bidi="ar"/>
        </w:rPr>
        <w:t xml:space="preserve">Студентка </w:t>
      </w:r>
      <w:r>
        <w:rPr>
          <w:rFonts w:hint="default" w:ascii="Times New Roman" w:hAnsi="Times New Roman" w:eastAsia="sans-serif" w:cs="Times New Roman"/>
          <w:i w:val="0"/>
          <w:iCs w:val="0"/>
          <w:kern w:val="0"/>
          <w:sz w:val="24"/>
          <w:szCs w:val="24"/>
          <w:lang w:val="en-US" w:eastAsia="zh-CN" w:bidi="ar"/>
        </w:rPr>
        <w:t>МГУ им</w:t>
      </w:r>
      <w:r>
        <w:rPr>
          <w:rFonts w:hint="default" w:ascii="Times New Roman" w:hAnsi="Times New Roman" w:eastAsia="sans-serif" w:cs="Times New Roman"/>
          <w:i w:val="0"/>
          <w:iCs w:val="0"/>
          <w:kern w:val="0"/>
          <w:sz w:val="24"/>
          <w:szCs w:val="24"/>
          <w:lang w:val="ru-RU" w:eastAsia="zh-CN" w:bidi="ar"/>
        </w:rPr>
        <w:t>ени</w:t>
      </w:r>
      <w:r>
        <w:rPr>
          <w:rFonts w:hint="default" w:ascii="Times New Roman" w:hAnsi="Times New Roman" w:eastAsia="sans-serif" w:cs="Times New Roman"/>
          <w:i w:val="0"/>
          <w:iCs w:val="0"/>
          <w:kern w:val="0"/>
          <w:sz w:val="24"/>
          <w:szCs w:val="24"/>
          <w:lang w:val="en-US" w:eastAsia="zh-CN" w:bidi="ar"/>
        </w:rPr>
        <w:t xml:space="preserve"> М.В. Ломоносова</w:t>
      </w:r>
      <w:r>
        <w:rPr>
          <w:rFonts w:hint="default" w:ascii="Times New Roman" w:hAnsi="Times New Roman" w:eastAsia="sans-serif" w:cs="Times New Roman"/>
          <w:i w:val="0"/>
          <w:iCs w:val="0"/>
          <w:kern w:val="0"/>
          <w:sz w:val="24"/>
          <w:szCs w:val="24"/>
          <w:lang w:val="ru-RU" w:eastAsia="zh-CN" w:bidi="ar"/>
        </w:rPr>
        <w:t xml:space="preserve">, </w:t>
      </w:r>
      <w:r>
        <w:rPr>
          <w:rFonts w:hint="default" w:ascii="Times New Roman" w:hAnsi="Times New Roman" w:eastAsia="sans-serif" w:cs="Times New Roman"/>
          <w:i w:val="0"/>
          <w:iCs w:val="0"/>
          <w:kern w:val="0"/>
          <w:sz w:val="24"/>
          <w:szCs w:val="24"/>
          <w:lang w:val="en-US" w:eastAsia="zh-CN" w:bidi="ar"/>
        </w:rPr>
        <w:t>Москва, Россия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default" w:ascii="Times New Roman" w:hAnsi="Times New Roman" w:eastAsia="sans-serif" w:cs="Times New Roman"/>
          <w:i/>
          <w:iCs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eastAsia="sans-serif" w:cs="Times New Roman"/>
          <w:kern w:val="0"/>
          <w:sz w:val="24"/>
          <w:szCs w:val="24"/>
          <w:lang w:val="ru-RU" w:eastAsia="zh-CN" w:bidi="ar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ans-serif" w:cs="Times New Roman"/>
          <w:kern w:val="0"/>
          <w:sz w:val="24"/>
          <w:szCs w:val="24"/>
          <w:lang w:val="ru-RU" w:eastAsia="zh-CN" w:bidi="ar"/>
        </w:rPr>
        <w:t>В современной лингвистике идея о вза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имном влиянии синтаксических и семантических свойств наречий фактически является общепринятой: в рамках генеративного подхода можно привести работу </w:t>
      </w:r>
      <w:r>
        <w:rPr>
          <w:rFonts w:hint="default" w:ascii="Times New Roman" w:hAnsi="Times New Roman" w:cs="Times New Roman"/>
          <w:sz w:val="24"/>
          <w:szCs w:val="24"/>
          <w:lang w:val="en-GB"/>
        </w:rPr>
        <w:t>[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/>
        </w:rPr>
        <w:t>Cinque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GB"/>
        </w:rPr>
        <w:t xml:space="preserve"> 1999</w:t>
      </w:r>
      <w:r>
        <w:rPr>
          <w:rFonts w:hint="default" w:ascii="Times New Roman" w:hAnsi="Times New Roman" w:cs="Times New Roman"/>
          <w:sz w:val="24"/>
          <w:szCs w:val="24"/>
          <w:lang w:val="en-GB"/>
        </w:rPr>
        <w:t>]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согласно которой позиция наречия (наречной группы) в синтаксической структуре предложения строго зависит от его семантического класса, в то же время в работе </w:t>
      </w:r>
      <w:r>
        <w:rPr>
          <w:rFonts w:hint="default" w:ascii="Times New Roman" w:hAnsi="Times New Roman" w:cs="Times New Roman"/>
          <w:sz w:val="24"/>
          <w:szCs w:val="24"/>
          <w:lang w:val="en-GB"/>
        </w:rPr>
        <w:t>[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Филипенко 2003</w:t>
      </w: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],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написанной в рамках функциональной лингвистики, предлагается разбиение наречий на группы с фиксированной и плавающей сферой действия, и принадлежность ко второй группе обусловлена не только синтаксическими, но и лексико-семантическими свойствами самих наречий.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i w:val="0"/>
          <w:i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Наречия эстетической оценки, входящие наравне с наречиями этической оценки в группу сублимированных частнооценочных наречий и характеризующие объект оценки с точки зрения удовлетворения «чувства прекрасного», до сих пор не подвергались анализу в контексте этого взаимного влияния. Следуя алгоритму, предложенному в работе </w:t>
      </w:r>
      <w:r>
        <w:rPr>
          <w:rFonts w:hint="default" w:ascii="Times New Roman" w:hAnsi="Times New Roman" w:cs="Times New Roman"/>
          <w:sz w:val="24"/>
          <w:szCs w:val="24"/>
          <w:lang w:val="en-GB"/>
        </w:rPr>
        <w:t>[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Кобозева 2022</w:t>
      </w: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],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в которой аналогичным образом анализируются наречия гедонистической оценки, мы начали исследование с анализа синтаксических функций на примере наречий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>красиво, некрасиво, безобразно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и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>уродливо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/>
        </w:rPr>
        <w:t>(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ru-RU"/>
        </w:rPr>
        <w:t xml:space="preserve">см. табл. 1, во втором столбце для сравнения приводятся данные о наличии соответствующих функций у общеоценочных наречий в соответствии с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GB"/>
        </w:rPr>
        <w:t>[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ru-RU"/>
        </w:rPr>
        <w:t>Кобозева 2022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GB"/>
        </w:rPr>
        <w:t>])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ru-RU"/>
        </w:rPr>
        <w:t>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i w:val="0"/>
          <w:i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Список наречных функций с некоторыми изменениями взят из </w:t>
      </w:r>
      <w:r>
        <w:rPr>
          <w:rFonts w:hint="default" w:ascii="Times New Roman" w:hAnsi="Times New Roman" w:cs="Times New Roman"/>
          <w:sz w:val="24"/>
          <w:szCs w:val="24"/>
          <w:lang w:val="en-GB"/>
        </w:rPr>
        <w:t>[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Филипенко 2003: 78-79</w:t>
      </w:r>
      <w:r>
        <w:rPr>
          <w:rFonts w:hint="default" w:ascii="Times New Roman" w:hAnsi="Times New Roman" w:cs="Times New Roman"/>
          <w:sz w:val="24"/>
          <w:szCs w:val="24"/>
          <w:lang w:val="en-GB"/>
        </w:rPr>
        <w:t xml:space="preserve">],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материалом стал корпус из 685 примеров из основного подкорпуса Национального корпуса русского языка. Примеры контекстов для функций: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br w:type="textWrapping"/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Комплемент при глаголе: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Инициалы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>смотрятся безобразно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;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709" w:firstLineChars="0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Определение при глаголе: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Он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некрасиво западал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>на бок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;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709" w:firstLineChars="0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Предикатив, управляющий инфинитивом: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Было бы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>красиво жить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 в его время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;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709" w:firstLineChars="0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Предикатив, управляющий изъяснительным придаточным: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>Красиво, что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 почва местами вспухла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;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709" w:firstLineChars="0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Определение к прилагательному: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>Уродливо реалистичные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 изображения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;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709" w:firstLineChars="0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Определение к адвербиалу: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Палец торчал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>уродливо длинно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;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709" w:firstLineChars="0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Независимое употребление: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－ Как она вчера пела? －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>Некрасиво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>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firstLine="709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Комментарии к таблице: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firstLine="709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firstLine="709"/>
        <w:textAlignment w:val="auto"/>
        <w:rPr>
          <w:rStyle w:val="10"/>
          <w:rFonts w:hint="default" w:ascii="Times New Roman" w:hAnsi="Times New Roman" w:eastAsia="SimSun" w:cs="Times New Roman"/>
          <w:sz w:val="24"/>
          <w:szCs w:val="24"/>
          <w:highlight w:val="none"/>
          <w:lang w:val="ru-RU"/>
        </w:rPr>
      </w:pPr>
      <w:r>
        <w:rPr>
          <w:rStyle w:val="10"/>
          <w:rFonts w:hint="default" w:ascii="Times New Roman" w:hAnsi="Times New Roman" w:eastAsia="SimSun" w:cs="Times New Roman"/>
          <w:sz w:val="24"/>
          <w:szCs w:val="24"/>
          <w:highlight w:val="none"/>
          <w:lang w:val="ru-RU"/>
        </w:rPr>
        <w:t>в случаях, когда размер выдачи превышал 100 единиц, подсчитывалось количество подходящих контекстов на первые 100 единиц выдачи, и в таблицу заносилось примерное количество нужных примеров при вычисленной частоте на общее число</w:t>
      </w:r>
      <w:r>
        <w:rPr>
          <w:rStyle w:val="10"/>
          <w:rFonts w:hint="default" w:ascii="Times New Roman" w:hAnsi="Times New Roman" w:eastAsia="SimSun" w:cs="Times New Roman"/>
          <w:i/>
          <w:iCs/>
          <w:sz w:val="24"/>
          <w:szCs w:val="24"/>
          <w:highlight w:val="none"/>
          <w:lang w:val="ru-RU"/>
        </w:rPr>
        <w:t xml:space="preserve"> </w:t>
      </w:r>
      <w:r>
        <w:rPr>
          <w:rStyle w:val="10"/>
          <w:rFonts w:hint="default" w:ascii="Times New Roman" w:hAnsi="Times New Roman" w:eastAsia="SimSun" w:cs="Times New Roman"/>
          <w:sz w:val="24"/>
          <w:szCs w:val="24"/>
          <w:highlight w:val="none"/>
          <w:lang w:val="ru-RU"/>
        </w:rPr>
        <w:t>вхождений по запросу;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left="0" w:leftChars="0" w:firstLine="709" w:firstLineChars="0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для функции комплемента при глаголе посчитаны контексты с глаголами </w:t>
      </w:r>
      <w:r>
        <w:rPr>
          <w:rStyle w:val="10"/>
          <w:rFonts w:hint="default" w:ascii="Times New Roman" w:hAnsi="Times New Roman" w:eastAsia="SimSun" w:cs="Times New Roman"/>
          <w:i/>
          <w:iCs/>
          <w:sz w:val="24"/>
          <w:szCs w:val="24"/>
          <w:lang w:val="ru-RU"/>
        </w:rPr>
        <w:t>выглядеть, звучать, смотреться, выходить/выйти,</w:t>
      </w:r>
      <w:r>
        <w:rPr>
          <w:rStyle w:val="10"/>
          <w:rFonts w:hint="default" w:ascii="Times New Roman" w:hAnsi="Times New Roman" w:eastAsia="SimSun" w:cs="Times New Roman"/>
          <w:i w:val="0"/>
          <w:iCs w:val="0"/>
          <w:sz w:val="24"/>
          <w:szCs w:val="24"/>
          <w:lang w:val="ru-RU"/>
        </w:rPr>
        <w:t xml:space="preserve"> к которым также была добавлена конструкция</w:t>
      </w:r>
      <w:r>
        <w:rPr>
          <w:rStyle w:val="10"/>
          <w:rFonts w:hint="default" w:ascii="Times New Roman" w:hAnsi="Times New Roman" w:eastAsia="SimSun" w:cs="Times New Roman"/>
          <w:i/>
          <w:iCs/>
          <w:sz w:val="24"/>
          <w:szCs w:val="24"/>
          <w:lang w:val="ru-RU"/>
        </w:rPr>
        <w:t xml:space="preserve"> это (связка) </w:t>
      </w:r>
      <w:r>
        <w:rPr>
          <w:rStyle w:val="10"/>
          <w:rFonts w:hint="default" w:ascii="Times New Roman" w:hAnsi="Times New Roman" w:eastAsia="SimSun" w:cs="Times New Roman"/>
          <w:i/>
          <w:iCs/>
          <w:sz w:val="24"/>
          <w:szCs w:val="24"/>
          <w:lang w:val="en-GB"/>
        </w:rPr>
        <w:t>&lt;</w:t>
      </w:r>
      <w:r>
        <w:rPr>
          <w:rStyle w:val="10"/>
          <w:rFonts w:hint="default" w:ascii="Times New Roman" w:hAnsi="Times New Roman" w:eastAsia="SimSun" w:cs="Times New Roman"/>
          <w:i/>
          <w:iCs/>
          <w:sz w:val="24"/>
          <w:szCs w:val="24"/>
          <w:lang w:val="ru-RU"/>
        </w:rPr>
        <w:t>наречие</w:t>
      </w:r>
      <w:r>
        <w:rPr>
          <w:rStyle w:val="10"/>
          <w:rFonts w:hint="default" w:ascii="Times New Roman" w:hAnsi="Times New Roman" w:eastAsia="SimSun" w:cs="Times New Roman"/>
          <w:i/>
          <w:iCs/>
          <w:sz w:val="24"/>
          <w:szCs w:val="24"/>
          <w:lang w:val="en-GB"/>
        </w:rPr>
        <w:t>&gt;</w:t>
      </w:r>
      <w:r>
        <w:rPr>
          <w:rStyle w:val="10"/>
          <w:rFonts w:hint="default" w:ascii="Times New Roman" w:hAnsi="Times New Roman" w:eastAsia="SimSun" w:cs="Times New Roman"/>
          <w:i w:val="0"/>
          <w:iCs w:val="0"/>
          <w:sz w:val="24"/>
          <w:szCs w:val="24"/>
          <w:lang w:val="ru-RU"/>
        </w:rPr>
        <w:t xml:space="preserve">; </w:t>
      </w:r>
      <w:r>
        <w:rPr>
          <w:rStyle w:val="10"/>
          <w:rFonts w:hint="default" w:ascii="Times New Roman" w:hAnsi="Times New Roman" w:eastAsia="SimSun" w:cs="Times New Roman"/>
          <w:i/>
          <w:iCs/>
          <w:sz w:val="24"/>
          <w:szCs w:val="24"/>
          <w:lang w:val="ru-RU"/>
        </w:rPr>
        <w:t>э</w:t>
      </w:r>
      <w:r>
        <w:rPr>
          <w:rStyle w:val="10"/>
          <w:rFonts w:hint="default" w:ascii="Times New Roman" w:hAnsi="Times New Roman" w:eastAsia="SimSun" w:cs="Times New Roman"/>
          <w:i w:val="0"/>
          <w:iCs w:val="0"/>
          <w:sz w:val="24"/>
          <w:szCs w:val="24"/>
          <w:lang w:val="ru-RU"/>
        </w:rPr>
        <w:t>то первое приближение, и список наверняка можно дополнять.</w:t>
      </w:r>
    </w:p>
    <w:tbl>
      <w:tblPr>
        <w:tblStyle w:val="8"/>
        <w:tblW w:w="9048" w:type="dxa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1422"/>
        <w:gridCol w:w="1422"/>
        <w:gridCol w:w="1422"/>
        <w:gridCol w:w="1422"/>
        <w:gridCol w:w="1422"/>
        <w:gridCol w:w="1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51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709" w:firstLine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ru-RU" w:eastAsia="zh-CN" w:bidi="ar-SA"/>
              </w:rPr>
            </w:pP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  <w:t>хорошо/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  <w:t>плохо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  <w:t>красиво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  <w:t>некрасиво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  <w:t>безобразно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  <w:t>уродливо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  <w:t>всего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51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ru-RU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 w:eastAsia="zh-CN" w:bidi="ar-SA"/>
              </w:rPr>
              <w:t>1.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+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633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51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14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6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704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51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ru-RU" w:eastAsia="zh-CN" w:bidi="ar-SA"/>
              </w:rPr>
            </w:pP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+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3819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130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262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162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4373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51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ru-RU" w:eastAsia="zh-CN" w:bidi="ar-SA"/>
              </w:rPr>
            </w:pP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+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GB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9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7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1422" w:type="dxa"/>
            <w:shd w:val="clear" w:color="auto" w:fill="E7E6E6" w:themeFill="background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0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51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ru-RU" w:eastAsia="zh-CN" w:bidi="ar-SA"/>
              </w:rPr>
            </w:pP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+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1422" w:type="dxa"/>
            <w:shd w:val="clear" w:color="auto" w:fill="E7E6E6" w:themeFill="background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0</w:t>
            </w:r>
          </w:p>
        </w:tc>
        <w:tc>
          <w:tcPr>
            <w:tcW w:w="1422" w:type="dxa"/>
            <w:shd w:val="clear" w:color="auto" w:fill="E7E6E6" w:themeFill="background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0</w:t>
            </w:r>
          </w:p>
        </w:tc>
        <w:tc>
          <w:tcPr>
            <w:tcW w:w="1422" w:type="dxa"/>
            <w:shd w:val="clear" w:color="auto" w:fill="E7E6E6" w:themeFill="background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0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51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ru-RU" w:eastAsia="zh-CN" w:bidi="ar-SA"/>
              </w:rPr>
            </w:pPr>
          </w:p>
        </w:tc>
        <w:tc>
          <w:tcPr>
            <w:tcW w:w="1422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+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45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8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66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87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206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51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ru-RU" w:eastAsia="zh-CN" w:bidi="ar-SA"/>
              </w:rPr>
            </w:pPr>
          </w:p>
        </w:tc>
        <w:tc>
          <w:tcPr>
            <w:tcW w:w="1422" w:type="dxa"/>
            <w:shd w:val="clear" w:color="auto" w:fill="E7E6E6" w:themeFill="background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－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3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GB"/>
              </w:rPr>
              <w:t>4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GB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GB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51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ru-RU" w:eastAsia="zh-CN" w:bidi="ar-SA"/>
              </w:rPr>
            </w:pP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+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1422" w:type="dxa"/>
            <w:shd w:val="clear" w:color="auto" w:fill="E7E6E6" w:themeFill="background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0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142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GB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GB"/>
              </w:rPr>
              <w:t>5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right"/>
        <w:textAlignment w:val="auto"/>
        <w:rPr>
          <w:rFonts w:hint="default" w:ascii="Times New Roman" w:hAnsi="Times New Roman" w:cs="Times New Roman"/>
          <w:sz w:val="24"/>
          <w:szCs w:val="24"/>
          <w:lang w:val="ru-RU" w:eastAsia="zh-CN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lang w:val="ru-RU" w:eastAsia="zh-CN"/>
        </w:rPr>
        <w:br w:type="textWrapping"/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 w:eastAsia="zh-CN"/>
        </w:rPr>
        <w:t xml:space="preserve">Таблица 1.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ru-RU" w:eastAsia="zh-CN"/>
        </w:rPr>
        <w:t>Синтаксические функции наречий эстетической оценки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 xml:space="preserve">Интерес в полученных данных представляет опровержение сформулированного в </w:t>
      </w:r>
      <w:r>
        <w:rPr>
          <w:rFonts w:hint="default" w:ascii="Times New Roman" w:hAnsi="Times New Roman" w:cs="Times New Roman"/>
          <w:sz w:val="24"/>
          <w:szCs w:val="24"/>
          <w:lang w:val="en-GB" w:eastAsia="zh-CN"/>
        </w:rPr>
        <w:t>[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>Кобозева 2022</w:t>
      </w:r>
      <w:r>
        <w:rPr>
          <w:rFonts w:hint="default" w:ascii="Times New Roman" w:hAnsi="Times New Roman" w:cs="Times New Roman"/>
          <w:sz w:val="24"/>
          <w:szCs w:val="24"/>
          <w:lang w:val="en-GB" w:eastAsia="zh-CN"/>
        </w:rPr>
        <w:t>]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 xml:space="preserve"> утверждения о меньшем разнообразии функций частнооценочных наречий в сравнении с общеоценочными (для последних представлены 6 функций из 7), а также наличие примеров на функцию предикатива, управляющего изъяснительным придаточным (пример (1)), признанную в </w:t>
      </w:r>
      <w:r>
        <w:rPr>
          <w:rFonts w:hint="default" w:ascii="Times New Roman" w:hAnsi="Times New Roman" w:cs="Times New Roman"/>
          <w:sz w:val="24"/>
          <w:szCs w:val="24"/>
          <w:lang w:val="en-GB" w:eastAsia="zh-CN"/>
        </w:rPr>
        <w:t>[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>Арутюнова 1988</w:t>
      </w:r>
      <w:r>
        <w:rPr>
          <w:rFonts w:hint="default" w:ascii="Times New Roman" w:hAnsi="Times New Roman" w:cs="Times New Roman"/>
          <w:sz w:val="24"/>
          <w:szCs w:val="24"/>
          <w:lang w:val="en-GB" w:eastAsia="zh-CN"/>
        </w:rPr>
        <w:t>]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 xml:space="preserve"> невозможной для наречий эстетической оценки, и функцию определения к адвербиалу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(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 xml:space="preserve">пример (2)), признанную в </w:t>
      </w:r>
      <w:r>
        <w:rPr>
          <w:rFonts w:hint="default" w:ascii="Times New Roman" w:hAnsi="Times New Roman" w:cs="Times New Roman"/>
          <w:sz w:val="24"/>
          <w:szCs w:val="24"/>
          <w:lang w:val="en-GB" w:eastAsia="zh-CN"/>
        </w:rPr>
        <w:t>[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>Кобозева 2022</w:t>
      </w:r>
      <w:r>
        <w:rPr>
          <w:rFonts w:hint="default" w:ascii="Times New Roman" w:hAnsi="Times New Roman" w:cs="Times New Roman"/>
          <w:sz w:val="24"/>
          <w:szCs w:val="24"/>
          <w:lang w:val="en-GB" w:eastAsia="zh-CN"/>
        </w:rPr>
        <w:t>]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 xml:space="preserve"> невозможной для большинства оценочных наречий в прямом аксиологическом значении.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 w:eastAsia="zh-CN"/>
        </w:rPr>
      </w:pPr>
    </w:p>
    <w:p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709" w:firstLineChars="0"/>
        <w:jc w:val="both"/>
        <w:textAlignment w:val="auto"/>
        <w:rPr>
          <w:rStyle w:val="10"/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Красиво, что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Джульетта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с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крылышками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,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и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тропические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рыбки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― 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ab/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ab/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ab/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красиво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  <w:lang w:val="en-GB"/>
        </w:rPr>
        <w:t>&lt;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  <w:lang w:val="en-US"/>
        </w:rPr>
        <w:t>…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  <w:lang w:val="en-GB"/>
        </w:rPr>
        <w:t>&gt;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. </w:t>
      </w:r>
      <w:r>
        <w:rPr>
          <w:rStyle w:val="10"/>
          <w:rFonts w:hint="default" w:ascii="Times New Roman" w:hAnsi="Times New Roman" w:eastAsia="SimSun" w:cs="Times New Roman"/>
          <w:sz w:val="24"/>
          <w:szCs w:val="24"/>
        </w:rPr>
        <w:t xml:space="preserve">[Дарья Ардженто. Поют, умирают. В Москве показали </w:t>
      </w:r>
      <w:r>
        <w:rPr>
          <w:rStyle w:val="10"/>
          <w:rFonts w:hint="default" w:ascii="Times New Roman" w:hAnsi="Times New Roman" w:eastAsia="SimSun" w:cs="Times New Roman"/>
          <w:sz w:val="24"/>
          <w:szCs w:val="24"/>
          <w:lang w:val="ru-RU"/>
        </w:rPr>
        <w:tab/>
      </w:r>
      <w:r>
        <w:rPr>
          <w:rStyle w:val="10"/>
          <w:rFonts w:hint="default" w:ascii="Times New Roman" w:hAnsi="Times New Roman" w:eastAsia="SimSun" w:cs="Times New Roman"/>
          <w:sz w:val="24"/>
          <w:szCs w:val="24"/>
          <w:lang w:val="ru-RU"/>
        </w:rPr>
        <w:tab/>
      </w:r>
      <w:r>
        <w:rPr>
          <w:rStyle w:val="10"/>
          <w:rFonts w:hint="default" w:ascii="Times New Roman" w:hAnsi="Times New Roman" w:eastAsia="SimSun" w:cs="Times New Roman"/>
          <w:sz w:val="24"/>
          <w:szCs w:val="24"/>
        </w:rPr>
        <w:t>«Мулен</w:t>
      </w:r>
      <w:r>
        <w:rPr>
          <w:rStyle w:val="10"/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 </w:t>
      </w:r>
      <w:r>
        <w:rPr>
          <w:rStyle w:val="10"/>
          <w:rFonts w:hint="default" w:ascii="Times New Roman" w:hAnsi="Times New Roman" w:eastAsia="SimSun" w:cs="Times New Roman"/>
          <w:sz w:val="24"/>
          <w:szCs w:val="24"/>
        </w:rPr>
        <w:t>Руж» // «Известия», 2001.07.01]</w:t>
      </w:r>
      <w:r>
        <w:rPr>
          <w:rStyle w:val="10"/>
          <w:rFonts w:hint="default" w:ascii="Times New Roman" w:hAnsi="Times New Roman" w:eastAsia="SimSun" w:cs="Times New Roman"/>
          <w:sz w:val="24"/>
          <w:szCs w:val="24"/>
        </w:rPr>
        <w:br w:type="textWrapping"/>
      </w:r>
    </w:p>
    <w:p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709" w:firstLineChars="0"/>
        <w:jc w:val="both"/>
        <w:textAlignment w:val="auto"/>
        <w:rPr>
          <w:rStyle w:val="10"/>
          <w:rFonts w:hint="default" w:ascii="Times New Roman" w:hAnsi="Times New Roman" w:eastAsia="SimSun" w:cs="Times New Roman"/>
          <w:sz w:val="24"/>
          <w:szCs w:val="24"/>
        </w:rPr>
      </w:pP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Покраснев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,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щупая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пальцами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пуговицы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кофты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и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некрасиво широко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  <w:lang w:val="ru-RU"/>
        </w:rPr>
        <w:tab/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  <w:lang w:val="ru-RU"/>
        </w:rPr>
        <w:tab/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  <w:lang w:val="ru-RU"/>
        </w:rPr>
        <w:tab/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раскрыв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зеленые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глаза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,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она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подошла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к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Style w:val="9"/>
          <w:rFonts w:hint="default" w:ascii="Times New Roman" w:hAnsi="Times New Roman" w:eastAsia="SimSun" w:cs="Times New Roman"/>
          <w:sz w:val="24"/>
          <w:szCs w:val="24"/>
        </w:rPr>
        <w:t>Самгину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. </w:t>
      </w:r>
      <w:r>
        <w:rPr>
          <w:rStyle w:val="10"/>
          <w:rFonts w:hint="default" w:ascii="Times New Roman" w:hAnsi="Times New Roman" w:eastAsia="SimSun" w:cs="Times New Roman"/>
          <w:sz w:val="24"/>
          <w:szCs w:val="24"/>
        </w:rPr>
        <w:t xml:space="preserve">[Максим Горький. </w:t>
      </w:r>
      <w:r>
        <w:rPr>
          <w:rStyle w:val="10"/>
          <w:rFonts w:hint="default" w:ascii="Times New Roman" w:hAnsi="Times New Roman" w:eastAsia="SimSun" w:cs="Times New Roman"/>
          <w:sz w:val="24"/>
          <w:szCs w:val="24"/>
          <w:lang w:val="ru-RU"/>
        </w:rPr>
        <w:tab/>
      </w:r>
      <w:r>
        <w:rPr>
          <w:rStyle w:val="10"/>
          <w:rFonts w:hint="default" w:ascii="Times New Roman" w:hAnsi="Times New Roman" w:eastAsia="SimSun" w:cs="Times New Roman"/>
          <w:sz w:val="24"/>
          <w:szCs w:val="24"/>
          <w:lang w:val="ru-RU"/>
        </w:rPr>
        <w:tab/>
      </w:r>
      <w:r>
        <w:rPr>
          <w:rStyle w:val="10"/>
          <w:rFonts w:hint="default" w:ascii="Times New Roman" w:hAnsi="Times New Roman" w:eastAsia="SimSun" w:cs="Times New Roman"/>
          <w:sz w:val="24"/>
          <w:szCs w:val="24"/>
          <w:lang w:val="ru-RU"/>
        </w:rPr>
        <w:tab/>
      </w:r>
      <w:r>
        <w:rPr>
          <w:rStyle w:val="10"/>
          <w:rFonts w:hint="default" w:ascii="Times New Roman" w:hAnsi="Times New Roman" w:eastAsia="SimSun" w:cs="Times New Roman"/>
          <w:sz w:val="24"/>
          <w:szCs w:val="24"/>
        </w:rPr>
        <w:t>Жизнь Клима Самгина. Часть 3 (1928)]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Полученные данные также противоречат сформулированному в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GB"/>
        </w:rPr>
        <w:t>[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Филипенко 2003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GB"/>
        </w:rPr>
        <w:t>]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критерию определения типа наречной сферы действия (СД), согласно которому к группе с плавающей СД относятся наречия, способные выступать в функции предикатива (т.е. в функциях 3 и 4 из списка): даже с учётом сужения критерия, обоснованного в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GB"/>
        </w:rPr>
        <w:t>[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Кобозева 2022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GB"/>
        </w:rPr>
        <w:t>]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и сводящего набор релевантных функций только к функции предикатива, управляющего изъяснительным придаточным с 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lang w:val="ru-RU"/>
        </w:rPr>
        <w:t>что(бы)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, распределение, полученное в данном исследовании, расходится с распределением, приведённым в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GB"/>
        </w:rPr>
        <w:t>[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Филипенко 2003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GB"/>
        </w:rPr>
        <w:t>]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/>
        </w:rPr>
        <w:t xml:space="preserve"> (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см. табл. 2). Таким образом, теоретические предсказания входят в противоречие с корпусными данными, и критерий нуждается в дальнейшем совершенствовании.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</w:p>
    <w:tbl>
      <w:tblPr>
        <w:tblStyle w:val="8"/>
        <w:tblpPr w:leftFromText="180" w:rightFromText="180" w:vertAnchor="text" w:horzAnchor="page" w:tblpX="2581" w:tblpY="4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5"/>
        <w:gridCol w:w="2327"/>
        <w:gridCol w:w="29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709" w:firstLineChars="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32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vertAlign w:val="baseline"/>
                <w:lang w:val="en-GB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vertAlign w:val="baseline"/>
                <w:lang w:val="en-GB"/>
              </w:rPr>
              <w:t>[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vertAlign w:val="baseline"/>
                <w:lang w:val="ru-RU"/>
              </w:rPr>
              <w:t>Филипенко 2003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vertAlign w:val="baseline"/>
                <w:lang w:val="en-GB"/>
              </w:rPr>
              <w:t>]</w:t>
            </w:r>
          </w:p>
        </w:tc>
        <w:tc>
          <w:tcPr>
            <w:tcW w:w="29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vertAlign w:val="baseline"/>
                <w:lang w:val="ru-RU"/>
              </w:rPr>
              <w:t>Корпусный анализ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  <w:t>красиво</w:t>
            </w:r>
          </w:p>
        </w:tc>
        <w:tc>
          <w:tcPr>
            <w:tcW w:w="232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фиксированная СД</w:t>
            </w:r>
          </w:p>
        </w:tc>
        <w:tc>
          <w:tcPr>
            <w:tcW w:w="29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плавающая СД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  <w:t>некрасиво</w:t>
            </w:r>
          </w:p>
        </w:tc>
        <w:tc>
          <w:tcPr>
            <w:tcW w:w="232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фиксированная СД</w:t>
            </w:r>
          </w:p>
        </w:tc>
        <w:tc>
          <w:tcPr>
            <w:tcW w:w="29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плавающая СД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  <w:t>безобразно</w:t>
            </w:r>
          </w:p>
        </w:tc>
        <w:tc>
          <w:tcPr>
            <w:tcW w:w="232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плавающая СД</w:t>
            </w:r>
          </w:p>
        </w:tc>
        <w:tc>
          <w:tcPr>
            <w:tcW w:w="29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фиксированная СД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vertAlign w:val="baseline"/>
                <w:lang w:val="ru-RU"/>
              </w:rPr>
              <w:t>уродливо</w:t>
            </w:r>
          </w:p>
        </w:tc>
        <w:tc>
          <w:tcPr>
            <w:tcW w:w="232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709" w:firstLineChars="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－</w:t>
            </w:r>
          </w:p>
        </w:tc>
        <w:tc>
          <w:tcPr>
            <w:tcW w:w="29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фиксированная СД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right"/>
        <w:textAlignment w:val="auto"/>
        <w:rPr>
          <w:rFonts w:hint="default" w:ascii="Times New Roman" w:hAnsi="Times New Roman" w:cs="Times New Roman"/>
          <w:i w:val="0"/>
          <w:i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Таблица 2.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ru-RU"/>
        </w:rPr>
        <w:t>Сопоставление предсказаний с результатами корпусного анализа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 w:eastAsia="zh-CN"/>
        </w:rPr>
        <w:t>Литература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 w:firstLineChars="0"/>
        <w:jc w:val="both"/>
        <w:textAlignment w:val="auto"/>
        <w:rPr>
          <w:rFonts w:hint="default" w:ascii="Times New Roman" w:hAnsi="Times New Roman" w:cs="Times New Roman"/>
          <w:i/>
          <w:iCs/>
          <w:sz w:val="24"/>
          <w:szCs w:val="24"/>
          <w:lang w:val="ru-RU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firstLine="709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 xml:space="preserve">Арутюнова Н.Д. </w:t>
      </w:r>
      <w:r>
        <w:rPr>
          <w:rFonts w:hint="default" w:ascii="Times New Roman" w:hAnsi="Times New Roman" w:cs="Times New Roman"/>
          <w:sz w:val="24"/>
          <w:szCs w:val="24"/>
        </w:rPr>
        <w:t>Типы языковых значений: Оценка. Событие. Факт. М., 1988.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firstLine="709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vertAlign w:val="baseline"/>
        </w:rPr>
        <w:t>Кобозева И.М.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 xml:space="preserve"> Наречия оценки: корреляция семантических различий с синтаксическими (на примере наречий общей и гедонистической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222222"/>
          <w:spacing w:val="0"/>
          <w:sz w:val="24"/>
          <w:szCs w:val="24"/>
          <w:highlight w:val="none"/>
          <w:shd w:val="clear" w:fill="FFFFFF"/>
        </w:rPr>
        <w:t>оценки) // </w:t>
      </w: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222222"/>
          <w:spacing w:val="0"/>
          <w:sz w:val="24"/>
          <w:szCs w:val="24"/>
          <w:highlight w:val="none"/>
          <w:shd w:val="clear" w:fill="FFFFFF"/>
          <w:vertAlign w:val="baseline"/>
        </w:rPr>
        <w:t>Критика и семиотика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222222"/>
          <w:spacing w:val="0"/>
          <w:sz w:val="24"/>
          <w:szCs w:val="24"/>
          <w:highlight w:val="none"/>
          <w:shd w:val="clear" w:fill="FFFFFF"/>
        </w:rPr>
        <w:t>. 2022. № 1. С.90–109.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/>
        <w:jc w:val="both"/>
        <w:textAlignment w:val="auto"/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ru-RU" w:eastAsia="zh-CN"/>
        </w:rPr>
      </w:pPr>
      <w:r>
        <w:rPr>
          <w:rStyle w:val="9"/>
          <w:rFonts w:hint="default"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 xml:space="preserve">Филипенко М.В. </w:t>
      </w:r>
      <w:r>
        <w:rPr>
          <w:rStyle w:val="9"/>
          <w:rFonts w:hint="default" w:ascii="Times New Roman" w:hAnsi="Times New Roman" w:cs="Times New Roman"/>
          <w:color w:val="000000"/>
          <w:sz w:val="24"/>
          <w:szCs w:val="24"/>
          <w:shd w:val="clear" w:color="auto" w:fill="FFFFFF"/>
        </w:rPr>
        <w:t>Семантика наречий и адвербиальных выражений. М., 2003.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firstLine="709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es-ES"/>
        </w:rPr>
      </w:pP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/>
        </w:rPr>
        <w:t xml:space="preserve">Cinque G.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Adverbs and functional heads: a crosslinguistic perspective. New York</w:t>
      </w:r>
      <w:r>
        <w:rPr>
          <w:rFonts w:hint="default" w:ascii="Times New Roman" w:hAnsi="Times New Roman" w:cs="Times New Roman"/>
          <w:sz w:val="24"/>
          <w:szCs w:val="24"/>
          <w:lang w:val="es-ES"/>
        </w:rPr>
        <w:t>, 1999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ans-serif" w:cs="Times New Roman"/>
          <w:sz w:val="24"/>
          <w:szCs w:val="24"/>
        </w:rPr>
        <w:t>Национальный корпус русско</w:t>
      </w:r>
      <w:bookmarkStart w:id="0" w:name="_GoBack"/>
      <w:bookmarkEnd w:id="0"/>
      <w:r>
        <w:rPr>
          <w:rFonts w:hint="default" w:ascii="Times New Roman" w:hAnsi="Times New Roman" w:eastAsia="sans-serif" w:cs="Times New Roman"/>
          <w:sz w:val="24"/>
          <w:szCs w:val="24"/>
        </w:rPr>
        <w:t>го языка</w:t>
      </w:r>
      <w:r>
        <w:rPr>
          <w:rFonts w:hint="default" w:ascii="Times New Roman" w:hAnsi="Times New Roman" w:eastAsia="sans-serif" w:cs="Times New Roman"/>
          <w:sz w:val="24"/>
          <w:szCs w:val="24"/>
          <w:lang w:val="ru-RU"/>
        </w:rPr>
        <w:t xml:space="preserve">: </w:t>
      </w:r>
      <w:r>
        <w:rPr>
          <w:rFonts w:hint="default" w:ascii="Times New Roman" w:hAnsi="Times New Roman" w:eastAsia="sans-serif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sans-serif" w:cs="Times New Roman"/>
          <w:sz w:val="24"/>
          <w:szCs w:val="24"/>
        </w:rPr>
        <w:instrText xml:space="preserve"> HYPERLINK "http://www.ruscorpora.ru" </w:instrText>
      </w:r>
      <w:r>
        <w:rPr>
          <w:rFonts w:hint="default" w:ascii="Times New Roman" w:hAnsi="Times New Roman" w:eastAsia="sans-serif" w:cs="Times New Roman"/>
          <w:sz w:val="24"/>
          <w:szCs w:val="24"/>
        </w:rPr>
        <w:fldChar w:fldCharType="separate"/>
      </w:r>
      <w:r>
        <w:rPr>
          <w:rStyle w:val="6"/>
          <w:rFonts w:hint="default" w:ascii="Times New Roman" w:hAnsi="Times New Roman" w:eastAsia="sans-serif" w:cs="Times New Roman"/>
          <w:sz w:val="24"/>
          <w:szCs w:val="24"/>
        </w:rPr>
        <w:t>www.ruscorpora.ru</w:t>
      </w:r>
      <w:r>
        <w:rPr>
          <w:rFonts w:hint="default" w:ascii="Times New Roman" w:hAnsi="Times New Roman" w:eastAsia="sans-serif" w:cs="Times New Roman"/>
          <w:sz w:val="24"/>
          <w:szCs w:val="24"/>
        </w:rPr>
        <w:fldChar w:fldCharType="end"/>
      </w:r>
    </w:p>
    <w:sectPr>
      <w:pgSz w:w="11906" w:h="16838"/>
      <w:pgMar w:top="1134" w:right="1417" w:bottom="1134" w:left="1417" w:header="720" w:footer="720" w:gutter="0"/>
      <w:paperSrc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A4A6DB"/>
    <w:multiLevelType w:val="singleLevel"/>
    <w:tmpl w:val="CCA4A6DB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E2B9CE11"/>
    <w:multiLevelType w:val="singleLevel"/>
    <w:tmpl w:val="E2B9CE11"/>
    <w:lvl w:ilvl="0" w:tentative="0">
      <w:start w:val="1"/>
      <w:numFmt w:val="decimal"/>
      <w:lvlText w:val="(%1)"/>
      <w:lvlJc w:val="left"/>
    </w:lvl>
  </w:abstractNum>
  <w:abstractNum w:abstractNumId="2">
    <w:nsid w:val="53EB0D4B"/>
    <w:multiLevelType w:val="singleLevel"/>
    <w:tmpl w:val="53EB0D4B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i w:val="0"/>
        <w:iCs w:val="0"/>
        <w:sz w:val="24"/>
        <w:szCs w:val="24"/>
      </w:rPr>
    </w:lvl>
  </w:abstractNum>
  <w:abstractNum w:abstractNumId="3">
    <w:nsid w:val="7A1FF8AF"/>
    <w:multiLevelType w:val="singleLevel"/>
    <w:tmpl w:val="7A1FF8AF"/>
    <w:lvl w:ilvl="0" w:tentative="0">
      <w:start w:val="1"/>
      <w:numFmt w:val="decimal"/>
      <w:suff w:val="space"/>
      <w:lvlText w:val="%1)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AE4B9B"/>
    <w:rsid w:val="01F02CA4"/>
    <w:rsid w:val="045127C1"/>
    <w:rsid w:val="05AE4B9B"/>
    <w:rsid w:val="0E011BEA"/>
    <w:rsid w:val="0F3E1BD9"/>
    <w:rsid w:val="10E22999"/>
    <w:rsid w:val="11BE2D96"/>
    <w:rsid w:val="150C4294"/>
    <w:rsid w:val="1C8F4DFF"/>
    <w:rsid w:val="1E2310A5"/>
    <w:rsid w:val="1EEC5ECB"/>
    <w:rsid w:val="1F2F2272"/>
    <w:rsid w:val="25C6044D"/>
    <w:rsid w:val="2B193698"/>
    <w:rsid w:val="342F0BF2"/>
    <w:rsid w:val="364A502F"/>
    <w:rsid w:val="3A4E49F8"/>
    <w:rsid w:val="3EE80B50"/>
    <w:rsid w:val="400440F5"/>
    <w:rsid w:val="46E576CE"/>
    <w:rsid w:val="47444691"/>
    <w:rsid w:val="48EB4CA0"/>
    <w:rsid w:val="4E8E7D02"/>
    <w:rsid w:val="4F13100B"/>
    <w:rsid w:val="4F39559C"/>
    <w:rsid w:val="59465FF6"/>
    <w:rsid w:val="59604399"/>
    <w:rsid w:val="5AEC590E"/>
    <w:rsid w:val="5E095E62"/>
    <w:rsid w:val="5F1A51D1"/>
    <w:rsid w:val="605C6632"/>
    <w:rsid w:val="6BC404DB"/>
    <w:rsid w:val="6E6D0E10"/>
    <w:rsid w:val="702951B3"/>
    <w:rsid w:val="71163F4E"/>
    <w:rsid w:val="731955B0"/>
    <w:rsid w:val="74245368"/>
    <w:rsid w:val="749D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basedOn w:val="2"/>
    <w:qFormat/>
    <w:uiPriority w:val="0"/>
    <w:rPr>
      <w:vertAlign w:val="superscript"/>
    </w:rPr>
  </w:style>
  <w:style w:type="character" w:styleId="5">
    <w:name w:val="Emphasis"/>
    <w:basedOn w:val="2"/>
    <w:qFormat/>
    <w:uiPriority w:val="0"/>
    <w:rPr>
      <w:i/>
      <w:iCs/>
    </w:rPr>
  </w:style>
  <w:style w:type="character" w:styleId="6">
    <w:name w:val="Hyperlink"/>
    <w:basedOn w:val="2"/>
    <w:qFormat/>
    <w:uiPriority w:val="0"/>
    <w:rPr>
      <w:color w:val="0000FF"/>
      <w:u w:val="single"/>
    </w:rPr>
  </w:style>
  <w:style w:type="paragraph" w:styleId="7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table" w:styleId="8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b-wrd-expl"/>
    <w:basedOn w:val="2"/>
    <w:qFormat/>
    <w:uiPriority w:val="0"/>
  </w:style>
  <w:style w:type="character" w:customStyle="1" w:styleId="10">
    <w:name w:val="doc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62</TotalTime>
  <ScaleCrop>false</ScaleCrop>
  <LinksUpToDate>false</LinksUpToDate>
  <CharactersWithSpaces>0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2023-02-26T12:54:00Z</dcterms:created>
  <dc:creator>google1599857717</dc:creator>
  <cp:lastModifiedBy>google1599857717</cp:lastModifiedBy>
  <dcterms:modified xsi:type="dcterms:W3CDTF">2023-03-02T20:34:54Z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FD4D70A137004FBDA42E40FFD2AF47DC</vt:lpwstr>
  </property>
</Properties>
</file>