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0BDFE" w14:textId="77777777" w:rsidR="00DD7D7E" w:rsidRPr="00DD7D7E" w:rsidRDefault="00DD7D7E" w:rsidP="00095332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DD7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Дозиметрическое сравнение планов лечения при автоматическом и ручном планировании в системе </w:t>
      </w:r>
      <w:r w:rsidRPr="00DD7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Leksell</w:t>
      </w:r>
      <w:r w:rsidRPr="00DD7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Gamma</w:t>
      </w:r>
      <w:r w:rsidRPr="00DD7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Plan</w:t>
      </w:r>
    </w:p>
    <w:p w14:paraId="107B76B2" w14:textId="321E43A9" w:rsidR="009B192F" w:rsidRPr="009B192F" w:rsidRDefault="00DD7D7E" w:rsidP="009B192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vertAlign w:val="superscript"/>
          <w:lang w:eastAsia="ru-RU"/>
        </w:rPr>
      </w:pPr>
      <w:r w:rsidRPr="00DD7D7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Новикова Е.А.</w:t>
      </w:r>
      <w:r w:rsidRPr="009B192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vertAlign w:val="superscript"/>
          <w:lang w:eastAsia="ru-RU"/>
        </w:rPr>
        <w:t>1</w:t>
      </w:r>
      <w:r w:rsidRPr="009B192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,</w:t>
      </w:r>
      <w:r w:rsidR="009B192F" w:rsidRPr="009B192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B192F" w:rsidRPr="009B192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Лыкова Е.Н.</w:t>
      </w:r>
      <w:r w:rsidR="009B192F" w:rsidRPr="009B192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vertAlign w:val="superscript"/>
          <w:lang w:eastAsia="ru-RU"/>
        </w:rPr>
        <w:t>1</w:t>
      </w:r>
      <w:r w:rsidR="009B192F" w:rsidRPr="009B1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</w:t>
      </w:r>
      <w:r w:rsidRPr="009B1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Банникова</w:t>
      </w:r>
      <w:r w:rsidRPr="00DD7D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И.И.</w:t>
      </w:r>
      <w:r w:rsidRPr="00DD7D7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vertAlign w:val="superscript"/>
          <w:lang w:eastAsia="ru-RU"/>
        </w:rPr>
        <w:t xml:space="preserve"> 2</w:t>
      </w:r>
    </w:p>
    <w:p w14:paraId="5BBC57B3" w14:textId="6E8A2278" w:rsidR="000502A3" w:rsidRDefault="00DD7D7E" w:rsidP="009B192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</w:pPr>
      <w:r w:rsidRPr="00DD7D7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FFFFF"/>
          <w:vertAlign w:val="superscript"/>
          <w:lang w:eastAsia="ru-RU"/>
        </w:rPr>
        <w:t>1</w:t>
      </w:r>
      <w:r w:rsidRPr="00DD7D7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Московский государственный университет имени М.В.Ломоносова, </w:t>
      </w:r>
      <w:r w:rsidRPr="00DD7D7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br/>
        <w:t>физический факультет, Москва, Россия</w:t>
      </w:r>
    </w:p>
    <w:p w14:paraId="50FD78C2" w14:textId="1E7F23DF" w:rsidR="00DD7D7E" w:rsidRPr="00DD7D7E" w:rsidRDefault="000502A3" w:rsidP="00095332">
      <w:pPr>
        <w:spacing w:after="200" w:line="240" w:lineRule="auto"/>
        <w:ind w:firstLine="426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</w:pPr>
      <w:r w:rsidRPr="009B19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vertAlign w:val="superscript"/>
          <w:lang w:eastAsia="ru-RU"/>
        </w:rPr>
        <w:t xml:space="preserve">2 </w:t>
      </w:r>
      <w:r w:rsidR="009B192F" w:rsidRPr="009B192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АО "Деловой Центр Нейрохирургии" </w:t>
      </w:r>
      <w:r w:rsidR="009B192F" w:rsidRPr="009B192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(Центр «Гамма-нож г. Москва»), Москва, Россия</w:t>
      </w:r>
      <w:r w:rsidRPr="009B19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.</w:t>
      </w:r>
      <w:r w:rsidR="00DD7D7E" w:rsidRPr="009B192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br/>
      </w:r>
      <w:r w:rsidR="00DD7D7E" w:rsidRPr="00DD7D7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E–mail</w:t>
      </w:r>
      <w:r w:rsidR="00DD7D7E" w:rsidRPr="00DD7D7E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hyperlink r:id="rId8" w:history="1">
        <w:r w:rsidR="00DD7D7E" w:rsidRPr="00DD7D7E">
          <w:rPr>
            <w:rFonts w:ascii="Times New Roman" w:eastAsia="Times New Roman" w:hAnsi="Times New Roman" w:cs="Times New Roman"/>
            <w:i/>
            <w:color w:val="0563C1"/>
            <w:sz w:val="24"/>
            <w:szCs w:val="24"/>
            <w:u w:val="single"/>
            <w:shd w:val="clear" w:color="auto" w:fill="FFFFFF"/>
            <w:lang w:eastAsia="ru-RU"/>
          </w:rPr>
          <w:t>evgeniyanovikovazar@gmail.com</w:t>
        </w:r>
      </w:hyperlink>
    </w:p>
    <w:p w14:paraId="270E99E6" w14:textId="4D079519" w:rsidR="00DD7D7E" w:rsidRPr="00DD7D7E" w:rsidRDefault="00DD7D7E" w:rsidP="0009533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Гамма-нож (Leksell Gamma Knife Icon) - современная установка для стереотаксической радиохирургии внутричерепных патологий. Подведение дозы во время лечения осуществляется с помощью 192 источников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ru-RU"/>
        </w:rPr>
        <w:t>60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Со, расположенных</w:t>
      </w:r>
      <w:r w:rsidR="000502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восьми независимых секторах. Излучение от каждого источника проходит через круглые отверстия - коллиматоры четырех возможных конфигураций: диаметрами 4 мм, 8 мм, 16 мм и полностью закрытый коллиматор (блок) [1]. Подведение дозы в точку при фиксированном наборе коллиматоров называют “шотом”. Планирование лечения на Гамма-ноже представляет собой подбор положения и относительного времени лечения каждого шота. Традиционный ручной метод планирования является сложным и трудоемким процессом, результат которого сильно зависит от опыта планировщика. В связи с этим в последние годы активно развиваются автоматизированные методы планирования лечения.</w:t>
      </w:r>
    </w:p>
    <w:p w14:paraId="7632C3D9" w14:textId="17756208" w:rsidR="00DD7D7E" w:rsidRPr="00DD7D7E" w:rsidRDefault="00DD7D7E" w:rsidP="0009533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Leksell Gamma Knife Lightning - программное обеспечение обратного планирования, формирующее планы лечения на основе заданного пользователем набора ограничений [2]. Целью данного исследования </w:t>
      </w:r>
      <w:r w:rsidRP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явля</w:t>
      </w:r>
      <w:r w:rsidR="000502A3" w:rsidRP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ется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сравнения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основных показателей качества планов облучения небольших (объемом до 0,1 см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ru-RU"/>
        </w:rPr>
        <w:t>3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метастазов</w:t>
      </w:r>
      <w:r w:rsidRP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созданных </w:t>
      </w:r>
      <w:r w:rsidR="00175D44" w:rsidRP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</w:t>
      </w:r>
      <w:r w:rsidRP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использованием Leksell Gamma Knife Lightning </w:t>
      </w:r>
      <w:r w:rsidR="00175D44" w:rsidRP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стандартным ручным методом.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14:paraId="14905DFC" w14:textId="237C8AE5" w:rsidR="00DD7D7E" w:rsidRPr="00DD7D7E" w:rsidRDefault="00290AF8" w:rsidP="009B19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Предшествующие</w:t>
      </w:r>
      <w:r w:rsidR="0009533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290A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[3-4]</w:t>
      </w:r>
      <w:r w:rsidR="0009533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D7D7E"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показали, что использование в клинической практике Lightning имеет ряд преимуществ. Во-первых,</w:t>
      </w:r>
      <w:r w:rsid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B192F"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система автопланирования позволяет уменьшить время облучения или сохранить его на уровне ручных планов. Все авторы отмечали существенное сокращение затраченного на создание планов времени. Во-вторых, оптимизированные планы могут демонстрировать статистически значимое улучшение качества.</w:t>
      </w:r>
      <w:r w:rsidR="009B192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B192F"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В-третьих, </w:t>
      </w:r>
      <w:r w:rsidR="00DD7D7E"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 наблюдается значимых различий в качестве обратно оптимизированных планов, созданных начинающими и опытными пользователями. </w:t>
      </w:r>
    </w:p>
    <w:p w14:paraId="017253A8" w14:textId="12AA9445" w:rsidR="00DD7D7E" w:rsidRPr="00DD7D7E" w:rsidRDefault="00DD7D7E" w:rsidP="0009533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представленной работе рассмотрена выборка из 25 пациентов со множественными мелкими метастазами (суммарно 203 очага). Для каждого случая было создано два плана: с использованием оптимизатора Lightning </w:t>
      </w:r>
      <w:r w:rsidR="005C31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в стандартном ручном режиме. </w:t>
      </w:r>
      <w:r w:rsidR="005C31B3" w:rsidRPr="005C31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оценки статистических различий между планами лечения использовался критерий Уилкоксона</w:t>
      </w:r>
      <w:r w:rsidR="00B339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принятым 5% уровнем значимости.</w:t>
      </w:r>
    </w:p>
    <w:p w14:paraId="1A0015F9" w14:textId="6ADAA43D" w:rsidR="00DD7D7E" w:rsidRPr="00DD7D7E" w:rsidRDefault="00DD7D7E" w:rsidP="0009533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Небольшие метастазы, имеющие форму близкую к сферической, при ручном планировании обычно облучают одним шотом, с диаметром большим, чем диаметр мишени. Далее подбирается значение изодозы, при которой диаметр изодозовой кривой близок к диаметру </w:t>
      </w:r>
      <w:r w:rsidR="00175D44" w:rsidRPr="005C31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мишени [1]</w:t>
      </w:r>
      <w:r w:rsidRPr="005C31B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14:paraId="0C794C59" w14:textId="1B1415EA" w:rsidR="00290AF8" w:rsidRDefault="00DD7D7E" w:rsidP="00B339AF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рассмотренной выборке, несмотря на использование настройки оптимизатора full coverage, наблюдалось снижение параметра покрытия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footnoteReference w:id="1"/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авт</w:t>
      </w:r>
      <w:r w:rsidR="00B33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оматизированных планах.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Также был отмечен рост GI</w:t>
      </w:r>
      <w:r w:rsidR="00095332">
        <w:rPr>
          <w:rStyle w:val="ae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ootnoteReference w:id="2"/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953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селективности</w:t>
      </w:r>
      <w:r w:rsidR="00095332">
        <w:rPr>
          <w:rStyle w:val="ae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ootnoteReference w:id="3"/>
      </w:r>
      <w:r w:rsidR="00B33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минимальной дозы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5C3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Статистической</w:t>
      </w:r>
      <w:r w:rsidR="00B33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C3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разницы во в</w:t>
      </w:r>
      <w:r w:rsidR="00B33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ремени лечения не было выявлено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33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74F64" w:rsidRPr="005C3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C3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втоматизированные планы продемонстрировали увеличение значения параметра V</w:t>
      </w:r>
      <w:r w:rsidRPr="005C31B3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12Гр</w:t>
      </w:r>
      <w:r w:rsidRPr="005C3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здоровой ткани, пол</w:t>
      </w:r>
      <w:r w:rsidR="00B33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учающей дозу в 12 Гр в матрице </w:t>
      </w:r>
      <w:r w:rsidR="00474F64" w:rsidRPr="005C3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сравнению с ручными планами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290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0AF8"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 оценки статистических различий между ручными и оптимизированными планами лечения представлен на рис. 1.</w:t>
      </w:r>
    </w:p>
    <w:p w14:paraId="6C9978F6" w14:textId="77777777" w:rsidR="00B339AF" w:rsidRPr="00DD7D7E" w:rsidRDefault="00B339AF" w:rsidP="00B339AF">
      <w:pPr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14:paraId="2472A46C" w14:textId="77777777" w:rsidR="00DD7D7E" w:rsidRPr="00DD7D7E" w:rsidRDefault="00DD7D7E" w:rsidP="00290AF8">
      <w:pPr>
        <w:spacing w:after="0" w:line="240" w:lineRule="auto"/>
        <w:ind w:right="-3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D7E"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712C69F3" wp14:editId="4076AD1B">
            <wp:extent cx="5142294" cy="4280006"/>
            <wp:effectExtent l="0" t="0" r="1270" b="6350"/>
            <wp:docPr id="3" name="Рисунок 3" descr="photo167644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hoto16764476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183" cy="4301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A9A43" w14:textId="77777777" w:rsidR="00DD7D7E" w:rsidRDefault="00DD7D7E" w:rsidP="00095332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lang w:eastAsia="ru-RU"/>
        </w:rPr>
      </w:pPr>
      <w:r w:rsidRPr="00DD7D7E">
        <w:rPr>
          <w:rFonts w:ascii="Times New Roman" w:eastAsia="Times New Roman" w:hAnsi="Times New Roman" w:cs="Times New Roman"/>
          <w:b/>
          <w:i/>
          <w:lang w:eastAsia="ru-RU"/>
        </w:rPr>
        <w:t>Рис. 1</w:t>
      </w:r>
      <w:r w:rsidRPr="00DD7D7E">
        <w:rPr>
          <w:rFonts w:ascii="Times New Roman" w:eastAsia="Times New Roman" w:hAnsi="Times New Roman" w:cs="Times New Roman"/>
          <w:i/>
          <w:lang w:eastAsia="ru-RU"/>
        </w:rPr>
        <w:t>. Диаграммы размаха значений дозиметрических параметров, полученных с помощью ручного и обратного методов планирования</w:t>
      </w:r>
    </w:p>
    <w:p w14:paraId="609CE86C" w14:textId="77777777" w:rsidR="00290AF8" w:rsidRPr="00DD7D7E" w:rsidRDefault="00290AF8" w:rsidP="00095332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lang w:eastAsia="ru-RU"/>
        </w:rPr>
      </w:pPr>
    </w:p>
    <w:p w14:paraId="7E8D64ED" w14:textId="77777777" w:rsidR="00290AF8" w:rsidRPr="00DD7D7E" w:rsidRDefault="00290AF8" w:rsidP="00290AF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Рост значений V</w:t>
      </w:r>
      <w:r w:rsidRPr="00DD7D7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12Гр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приводит к увеличению вероятности клинически значимых повреждений нормальных тканей. Несмотря на увеличение селективности, планы, сформированные оптимизатором, оказались менее щадящими. Полученные данные могут быть использованы в дальнейшем для оценки эффективности использования Lightning при планировании пациентов с множественными метастазами.</w:t>
      </w:r>
      <w:r w:rsidRPr="00DD7D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fldChar w:fldCharType="begin"/>
      </w:r>
      <w:r w:rsidRPr="00DD7D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instrText xml:space="preserve"> </w:instrText>
      </w:r>
      <w:r w:rsidRPr="00DD7D7E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instrText>QUOTE</w:instrText>
      </w:r>
      <w:r w:rsidRPr="00DD7D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instrText xml:space="preserve"> </w:instrTex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f>
          <m:fPr>
            <m:type m:val="lin"/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1.5(k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>2)</m:t>
            </m:r>
          </m:den>
        </m:f>
      </m:oMath>
      <w:r w:rsidRPr="00DD7D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instrText xml:space="preserve"> </w:instrText>
      </w:r>
      <w:r w:rsidRPr="00DD7D7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fldChar w:fldCharType="end"/>
      </w:r>
    </w:p>
    <w:p w14:paraId="1165D54E" w14:textId="77777777" w:rsidR="00DD7D7E" w:rsidRPr="00DD7D7E" w:rsidRDefault="00DD7D7E" w:rsidP="0009533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B4D8E5" w14:textId="77777777" w:rsidR="00DD7D7E" w:rsidRDefault="00DD7D7E" w:rsidP="00095332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D7D7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Литература</w:t>
      </w:r>
    </w:p>
    <w:p w14:paraId="56F18E93" w14:textId="77777777" w:rsidR="00290AF8" w:rsidRPr="00DD7D7E" w:rsidRDefault="00290AF8" w:rsidP="00095332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BF77EE3" w14:textId="77777777" w:rsidR="00DD7D7E" w:rsidRPr="00DD7D7E" w:rsidRDefault="00290AF8" w:rsidP="00290AF8">
      <w:pPr>
        <w:numPr>
          <w:ilvl w:val="0"/>
          <w:numId w:val="2"/>
        </w:numPr>
        <w:spacing w:after="0" w:line="240" w:lineRule="auto"/>
        <w:ind w:left="709" w:right="42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А. В. Голанов, </w:t>
      </w:r>
      <w:r w:rsidR="00DD7D7E"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В. Костюченко. Нейрор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адиохирургия на Гамма-ноже - М.</w:t>
      </w:r>
      <w:r w:rsidR="00DD7D7E"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ИП Т. А. Алексеева, 2018 – 960 c.</w:t>
      </w:r>
    </w:p>
    <w:p w14:paraId="30CB8A01" w14:textId="77777777" w:rsidR="00DD7D7E" w:rsidRPr="00DD7D7E" w:rsidRDefault="00DD7D7E" w:rsidP="00290AF8">
      <w:pPr>
        <w:numPr>
          <w:ilvl w:val="0"/>
          <w:numId w:val="2"/>
        </w:numPr>
        <w:spacing w:after="0" w:line="240" w:lineRule="auto"/>
        <w:ind w:left="709" w:right="424" w:hanging="28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J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Sj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ö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lund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Riad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Hennix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.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Nordstr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ö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Linear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Programming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Approach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To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Inverse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Planning</w:t>
      </w:r>
      <w:r w:rsidRPr="000502A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 Gamma Knife, Medical Physics, https://doi.org/10.1002/mp.13440 (2019).</w:t>
      </w:r>
    </w:p>
    <w:p w14:paraId="0B7A2368" w14:textId="77777777" w:rsidR="00DD7D7E" w:rsidRPr="00DD7D7E" w:rsidRDefault="00DD7D7E" w:rsidP="00290AF8">
      <w:pPr>
        <w:numPr>
          <w:ilvl w:val="0"/>
          <w:numId w:val="2"/>
        </w:numPr>
        <w:spacing w:after="0" w:line="240" w:lineRule="auto"/>
        <w:ind w:left="709" w:right="424" w:hanging="28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Manon Spaniol et al. Inverse Planning In Gamma Knife Radiosurgery: A Comparative Planning Study, Physica Medica, doi: 10.1016/j.ejmp.2021.02.019 (2021)</w:t>
      </w:r>
    </w:p>
    <w:p w14:paraId="67ACF47E" w14:textId="77777777" w:rsidR="00B52F29" w:rsidRPr="00290AF8" w:rsidRDefault="00290AF8" w:rsidP="00290AF8">
      <w:pPr>
        <w:numPr>
          <w:ilvl w:val="0"/>
          <w:numId w:val="2"/>
        </w:numPr>
        <w:spacing w:after="0" w:line="240" w:lineRule="auto"/>
        <w:ind w:left="709" w:right="424" w:hanging="28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D7D7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Taoran Cui et al. Clinical Evaluation Of The Inverse Planning System Utilized In Gamma Knife Lightning, Frontiers in Oncology, doi: 10.3389/fonc.2022.832656 (2022).</w:t>
      </w:r>
    </w:p>
    <w:sectPr w:rsidR="00B52F29" w:rsidRPr="00290AF8" w:rsidSect="00221AB6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75F94" w16cex:dateUtc="2023-02-15T10:41:00Z"/>
  <w16cex:commentExtensible w16cex:durableId="27975F73" w16cex:dateUtc="2023-02-15T10:41:00Z"/>
  <w16cex:commentExtensible w16cex:durableId="27975FAB" w16cex:dateUtc="2023-02-15T10:42:00Z"/>
  <w16cex:commentExtensible w16cex:durableId="279760CB" w16cex:dateUtc="2023-02-15T10:46:00Z"/>
  <w16cex:commentExtensible w16cex:durableId="27976105" w16cex:dateUtc="2023-02-15T10:47:00Z"/>
  <w16cex:commentExtensible w16cex:durableId="27976198" w16cex:dateUtc="2023-02-15T10:50:00Z"/>
  <w16cex:commentExtensible w16cex:durableId="2797621F" w16cex:dateUtc="2023-02-15T10:52:00Z"/>
  <w16cex:commentExtensible w16cex:durableId="27976286" w16cex:dateUtc="2023-02-15T10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FCF1F86" w16cid:durableId="27975F94"/>
  <w16cid:commentId w16cid:paraId="0066142E" w16cid:durableId="27975F73"/>
  <w16cid:commentId w16cid:paraId="158A11BE" w16cid:durableId="27975FAB"/>
  <w16cid:commentId w16cid:paraId="0D3E87F4" w16cid:durableId="279760CB"/>
  <w16cid:commentId w16cid:paraId="589B1CBE" w16cid:durableId="27976105"/>
  <w16cid:commentId w16cid:paraId="04AA1FFA" w16cid:durableId="27976198"/>
  <w16cid:commentId w16cid:paraId="331E7FA5" w16cid:durableId="2797621F"/>
  <w16cid:commentId w16cid:paraId="09F290C8" w16cid:durableId="2797628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D7BA3" w14:textId="77777777" w:rsidR="00A85D8F" w:rsidRDefault="00A85D8F" w:rsidP="00D54221">
      <w:pPr>
        <w:spacing w:after="0" w:line="240" w:lineRule="auto"/>
      </w:pPr>
      <w:r>
        <w:separator/>
      </w:r>
    </w:p>
  </w:endnote>
  <w:endnote w:type="continuationSeparator" w:id="0">
    <w:p w14:paraId="13D35204" w14:textId="77777777" w:rsidR="00A85D8F" w:rsidRDefault="00A85D8F" w:rsidP="00D54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278ACF" w14:textId="77777777" w:rsidR="00A85D8F" w:rsidRDefault="00A85D8F" w:rsidP="00D54221">
      <w:pPr>
        <w:spacing w:after="0" w:line="240" w:lineRule="auto"/>
      </w:pPr>
      <w:r>
        <w:separator/>
      </w:r>
    </w:p>
  </w:footnote>
  <w:footnote w:type="continuationSeparator" w:id="0">
    <w:p w14:paraId="70C20D7C" w14:textId="77777777" w:rsidR="00A85D8F" w:rsidRDefault="00A85D8F" w:rsidP="00D54221">
      <w:pPr>
        <w:spacing w:after="0" w:line="240" w:lineRule="auto"/>
      </w:pPr>
      <w:r>
        <w:continuationSeparator/>
      </w:r>
    </w:p>
  </w:footnote>
  <w:footnote w:id="1">
    <w:p w14:paraId="789DD1D2" w14:textId="77777777" w:rsidR="00DD7D7E" w:rsidRPr="00095332" w:rsidRDefault="00DD7D7E" w:rsidP="00DD7D7E">
      <w:pPr>
        <w:pStyle w:val="ac"/>
        <w:rPr>
          <w:rFonts w:ascii="Times New Roman" w:eastAsiaTheme="minorEastAsia" w:hAnsi="Times New Roman" w:cs="Times New Roman"/>
          <w:sz w:val="22"/>
          <w:szCs w:val="22"/>
        </w:rPr>
      </w:pPr>
      <w:r w:rsidRPr="00095332">
        <w:rPr>
          <w:rStyle w:val="ae"/>
          <w:rFonts w:ascii="Times New Roman" w:hAnsi="Times New Roman" w:cs="Times New Roman"/>
          <w:sz w:val="22"/>
          <w:szCs w:val="22"/>
        </w:rPr>
        <w:footnoteRef/>
      </w:r>
      <w:r w:rsidRPr="00095332">
        <w:rPr>
          <w:rFonts w:ascii="Times New Roman" w:hAnsi="Times New Roman" w:cs="Times New Roman"/>
          <w:sz w:val="22"/>
          <w:szCs w:val="22"/>
        </w:rPr>
        <w:t xml:space="preserve"> </w:t>
      </w:r>
      <w:r w:rsidRPr="00095332">
        <w:rPr>
          <w:rFonts w:ascii="Times New Roman" w:hAnsi="Times New Roman" w:cs="Times New Roman"/>
          <w:color w:val="000000"/>
          <w:sz w:val="22"/>
          <w:szCs w:val="22"/>
        </w:rPr>
        <w:t xml:space="preserve">Покрытие  </w:t>
      </w:r>
      <m:oMath>
        <m:r>
          <m:rPr>
            <m:sty m:val="p"/>
          </m:rPr>
          <w:rPr>
            <w:rFonts w:ascii="Cambria Math" w:hAnsi="Cambria Math" w:cs="Times New Roman"/>
            <w:color w:val="000000"/>
            <w:sz w:val="22"/>
            <w:szCs w:val="22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lang w:val="en-US"/>
              </w:rPr>
              <m:t>TV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⋂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  <w:lang w:val="en-US"/>
              </w:rPr>
              <m:t>PIV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2"/>
                <w:szCs w:val="22"/>
              </w:rPr>
              <m:t>TV</m:t>
            </m:r>
          </m:den>
        </m:f>
        <m:r>
          <m:rPr>
            <m:sty m:val="p"/>
          </m:rPr>
          <w:rPr>
            <w:rFonts w:ascii="Cambria Math" w:hAnsi="Cambria Math" w:cs="Times New Roman"/>
            <w:color w:val="000000"/>
            <w:sz w:val="22"/>
            <w:szCs w:val="22"/>
          </w:rPr>
          <m:t xml:space="preserve">, </m:t>
        </m:r>
      </m:oMath>
      <w:r w:rsidR="00095332" w:rsidRPr="00095332">
        <w:rPr>
          <w:rFonts w:ascii="Times New Roman" w:hAnsi="Times New Roman" w:cs="Times New Roman"/>
          <w:color w:val="000000"/>
          <w:sz w:val="22"/>
          <w:szCs w:val="22"/>
        </w:rPr>
        <w:t xml:space="preserve">где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2"/>
            <w:szCs w:val="22"/>
          </w:rPr>
          <m:t>TV-</m:t>
        </m:r>
      </m:oMath>
      <w:r w:rsidR="00095332" w:rsidRPr="00095332">
        <w:rPr>
          <w:rFonts w:ascii="Times New Roman" w:eastAsiaTheme="minorEastAsia" w:hAnsi="Times New Roman" w:cs="Times New Roman"/>
          <w:sz w:val="22"/>
          <w:szCs w:val="22"/>
        </w:rPr>
        <w:t xml:space="preserve"> объем мишени,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2"/>
            <w:szCs w:val="22"/>
          </w:rPr>
          <m:t>PIV-</m:t>
        </m:r>
      </m:oMath>
      <w:r w:rsidR="00095332" w:rsidRPr="00095332">
        <w:rPr>
          <w:rFonts w:ascii="Times New Roman" w:eastAsiaTheme="minorEastAsia" w:hAnsi="Times New Roman" w:cs="Times New Roman"/>
          <w:sz w:val="22"/>
          <w:szCs w:val="22"/>
        </w:rPr>
        <w:t xml:space="preserve"> суммарный объем тканей, облученный дозой</w:t>
      </w:r>
    </w:p>
  </w:footnote>
  <w:footnote w:id="2">
    <w:p w14:paraId="59876E55" w14:textId="77777777" w:rsidR="00095332" w:rsidRPr="00095332" w:rsidRDefault="00095332" w:rsidP="00095332">
      <w:pPr>
        <w:pStyle w:val="ac"/>
        <w:rPr>
          <w:rFonts w:ascii="Times New Roman" w:eastAsiaTheme="minorEastAsia" w:hAnsi="Times New Roman" w:cs="Times New Roman"/>
          <w:sz w:val="22"/>
          <w:szCs w:val="22"/>
        </w:rPr>
      </w:pPr>
      <w:r w:rsidRPr="00095332">
        <w:rPr>
          <w:rStyle w:val="ae"/>
          <w:rFonts w:ascii="Times New Roman" w:hAnsi="Times New Roman" w:cs="Times New Roman"/>
          <w:sz w:val="22"/>
          <w:szCs w:val="22"/>
        </w:rPr>
        <w:footnoteRef/>
      </w:r>
      <w:r w:rsidRPr="00095332">
        <w:rPr>
          <w:rFonts w:ascii="Times New Roman" w:hAnsi="Times New Roman" w:cs="Times New Roman"/>
          <w:sz w:val="22"/>
          <w:szCs w:val="22"/>
        </w:rPr>
        <w:t xml:space="preserve"> </w:t>
      </w:r>
      <w:r w:rsidRPr="00095332">
        <w:rPr>
          <w:rFonts w:ascii="Times New Roman" w:hAnsi="Times New Roman" w:cs="Times New Roman"/>
          <w:color w:val="000000"/>
          <w:sz w:val="22"/>
          <w:szCs w:val="22"/>
        </w:rPr>
        <w:t xml:space="preserve">Градиентный индекс </w:t>
      </w:r>
      <m:oMath>
        <m:r>
          <m:rPr>
            <m:sty m:val="p"/>
          </m:rPr>
          <w:rPr>
            <w:rFonts w:ascii="Cambria Math" w:hAnsi="Cambria Math" w:cs="Times New Roman"/>
            <w:sz w:val="22"/>
            <w:szCs w:val="22"/>
          </w:rPr>
          <m:t>GI=</m:t>
        </m:r>
        <m:f>
          <m:fPr>
            <m:ctrlPr>
              <w:rPr>
                <w:rFonts w:ascii="Cambria Math" w:hAnsi="Cambria Math" w:cs="Times New Roman"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2"/>
                    <w:szCs w:val="2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  <w:szCs w:val="22"/>
                  </w:rPr>
                  <m:t>PIV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2"/>
                    <w:szCs w:val="22"/>
                  </w:rPr>
                  <m:t>50%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</w:rPr>
              <m:t>PIV</m:t>
            </m:r>
          </m:den>
        </m:f>
      </m:oMath>
      <w:r w:rsidRPr="00095332">
        <w:rPr>
          <w:rFonts w:ascii="Times New Roman" w:eastAsiaTheme="minorEastAsia" w:hAnsi="Times New Roman" w:cs="Times New Roman"/>
          <w:sz w:val="22"/>
          <w:szCs w:val="22"/>
        </w:rPr>
        <w:t xml:space="preserve">, где </w:t>
      </w:r>
      <m:oMath>
        <m:sSub>
          <m:sSubPr>
            <m:ctrlPr>
              <w:rPr>
                <w:rFonts w:ascii="Cambria Math" w:hAnsi="Cambria Math" w:cs="Times New Roman"/>
                <w:sz w:val="22"/>
                <w:szCs w:val="2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</w:rPr>
              <m:t>PIV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2"/>
                <w:szCs w:val="22"/>
              </w:rPr>
              <m:t>50%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2"/>
            <w:szCs w:val="22"/>
          </w:rPr>
          <m:t>-</m:t>
        </m:r>
      </m:oMath>
      <w:r w:rsidRPr="00095332">
        <w:rPr>
          <w:rFonts w:ascii="Times New Roman" w:eastAsiaTheme="minorEastAsia" w:hAnsi="Times New Roman" w:cs="Times New Roman"/>
          <w:sz w:val="22"/>
          <w:szCs w:val="22"/>
        </w:rPr>
        <w:t xml:space="preserve"> суммарный объем тканей, облученный дозой, равной половине предписанной</w:t>
      </w:r>
    </w:p>
  </w:footnote>
  <w:footnote w:id="3">
    <w:p w14:paraId="3BA09543" w14:textId="77777777" w:rsidR="00095332" w:rsidRPr="00095332" w:rsidRDefault="00095332" w:rsidP="00095332">
      <w:pPr>
        <w:pStyle w:val="a4"/>
        <w:spacing w:before="0" w:beforeAutospacing="0" w:after="0" w:afterAutospacing="0" w:line="360" w:lineRule="auto"/>
        <w:textAlignment w:val="baseline"/>
        <w:rPr>
          <w:color w:val="000000"/>
          <w:sz w:val="22"/>
          <w:szCs w:val="22"/>
        </w:rPr>
      </w:pPr>
      <w:r w:rsidRPr="00095332">
        <w:rPr>
          <w:rStyle w:val="ae"/>
          <w:sz w:val="22"/>
          <w:szCs w:val="22"/>
        </w:rPr>
        <w:footnoteRef/>
      </w:r>
      <w:r w:rsidRPr="00095332">
        <w:rPr>
          <w:sz w:val="22"/>
          <w:szCs w:val="22"/>
        </w:rPr>
        <w:t xml:space="preserve"> </w:t>
      </w:r>
      <w:r w:rsidRPr="00095332">
        <w:rPr>
          <w:color w:val="000000"/>
          <w:sz w:val="22"/>
          <w:szCs w:val="22"/>
        </w:rPr>
        <w:t xml:space="preserve">Селективность </w:t>
      </w:r>
      <m:oMath>
        <m:r>
          <m:rPr>
            <m:sty m:val="p"/>
          </m:rPr>
          <w:rPr>
            <w:rFonts w:ascii="Cambria Math" w:hAnsi="Cambria Math"/>
            <w:color w:val="000000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color w:val="000000"/>
                <w:sz w:val="22"/>
                <w:szCs w:val="2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  <w:lang w:val="en-US"/>
              </w:rPr>
              <m:t>TV</m:t>
            </m:r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</w:rPr>
              <m:t>⋂</m:t>
            </m:r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  <w:lang w:val="en-US"/>
              </w:rPr>
              <m:t>PIV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2"/>
                <w:szCs w:val="22"/>
              </w:rPr>
              <m:t>PIV</m:t>
            </m:r>
          </m:den>
        </m:f>
      </m:oMath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C5BBE"/>
    <w:multiLevelType w:val="hybridMultilevel"/>
    <w:tmpl w:val="BBA078FC"/>
    <w:lvl w:ilvl="0" w:tplc="43E4D3E4">
      <w:start w:val="1"/>
      <w:numFmt w:val="decimal"/>
      <w:lvlText w:val="%1."/>
      <w:lvlJc w:val="left"/>
      <w:pPr>
        <w:ind w:left="177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6FB07EDA"/>
    <w:multiLevelType w:val="multilevel"/>
    <w:tmpl w:val="7B6E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AFD"/>
    <w:rsid w:val="000206DF"/>
    <w:rsid w:val="000502A3"/>
    <w:rsid w:val="00053799"/>
    <w:rsid w:val="00095332"/>
    <w:rsid w:val="00105450"/>
    <w:rsid w:val="00162F3E"/>
    <w:rsid w:val="00175D44"/>
    <w:rsid w:val="001A4E0A"/>
    <w:rsid w:val="001B52EB"/>
    <w:rsid w:val="00221AB6"/>
    <w:rsid w:val="002359CF"/>
    <w:rsid w:val="00245724"/>
    <w:rsid w:val="00290AF8"/>
    <w:rsid w:val="002E4824"/>
    <w:rsid w:val="00341881"/>
    <w:rsid w:val="0037265C"/>
    <w:rsid w:val="00374879"/>
    <w:rsid w:val="003B027F"/>
    <w:rsid w:val="003F1A9A"/>
    <w:rsid w:val="004516A6"/>
    <w:rsid w:val="00472D83"/>
    <w:rsid w:val="00474143"/>
    <w:rsid w:val="00474F64"/>
    <w:rsid w:val="00565AE0"/>
    <w:rsid w:val="005C31B3"/>
    <w:rsid w:val="006421F8"/>
    <w:rsid w:val="006546AE"/>
    <w:rsid w:val="00784D56"/>
    <w:rsid w:val="007E3858"/>
    <w:rsid w:val="00807AFD"/>
    <w:rsid w:val="00817F1E"/>
    <w:rsid w:val="008C1A2E"/>
    <w:rsid w:val="008E5652"/>
    <w:rsid w:val="009527F2"/>
    <w:rsid w:val="009811E5"/>
    <w:rsid w:val="009B192F"/>
    <w:rsid w:val="009B3BF4"/>
    <w:rsid w:val="009B4406"/>
    <w:rsid w:val="009C5E0A"/>
    <w:rsid w:val="00A00060"/>
    <w:rsid w:val="00A05086"/>
    <w:rsid w:val="00A4403B"/>
    <w:rsid w:val="00A8116F"/>
    <w:rsid w:val="00A85D8F"/>
    <w:rsid w:val="00AB7A53"/>
    <w:rsid w:val="00AD0BC2"/>
    <w:rsid w:val="00B00F84"/>
    <w:rsid w:val="00B20994"/>
    <w:rsid w:val="00B339AF"/>
    <w:rsid w:val="00B43F2E"/>
    <w:rsid w:val="00B4698F"/>
    <w:rsid w:val="00B52F29"/>
    <w:rsid w:val="00B82F42"/>
    <w:rsid w:val="00C470FD"/>
    <w:rsid w:val="00CC7019"/>
    <w:rsid w:val="00CF65C0"/>
    <w:rsid w:val="00D403BF"/>
    <w:rsid w:val="00D54221"/>
    <w:rsid w:val="00DD7D7E"/>
    <w:rsid w:val="00EC09A1"/>
    <w:rsid w:val="00F30781"/>
    <w:rsid w:val="00F5763E"/>
    <w:rsid w:val="00F65992"/>
    <w:rsid w:val="00FD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37250"/>
  <w15:chartTrackingRefBased/>
  <w15:docId w15:val="{3370A99E-603C-4D7B-AA9A-A7CE966D6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206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65C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817F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cordion-tabbedtab-mobile">
    <w:name w:val="accordion-tabbed__tab-mobile"/>
    <w:basedOn w:val="a0"/>
    <w:rsid w:val="00784D56"/>
  </w:style>
  <w:style w:type="character" w:customStyle="1" w:styleId="comma-separator">
    <w:name w:val="comma-separator"/>
    <w:basedOn w:val="a0"/>
    <w:rsid w:val="00784D56"/>
  </w:style>
  <w:style w:type="character" w:customStyle="1" w:styleId="40">
    <w:name w:val="Заголовок 4 Знак"/>
    <w:basedOn w:val="a0"/>
    <w:link w:val="4"/>
    <w:uiPriority w:val="9"/>
    <w:rsid w:val="000206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rsid w:val="00D5422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5422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5422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5422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5422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54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4221"/>
    <w:rPr>
      <w:rFonts w:ascii="Segoe UI" w:hAnsi="Segoe UI" w:cs="Segoe UI"/>
      <w:sz w:val="18"/>
      <w:szCs w:val="18"/>
    </w:rPr>
  </w:style>
  <w:style w:type="paragraph" w:styleId="ac">
    <w:name w:val="footnote text"/>
    <w:basedOn w:val="a"/>
    <w:link w:val="ad"/>
    <w:uiPriority w:val="99"/>
    <w:unhideWhenUsed/>
    <w:rsid w:val="00D54221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D54221"/>
    <w:rPr>
      <w:sz w:val="20"/>
      <w:szCs w:val="20"/>
    </w:rPr>
  </w:style>
  <w:style w:type="character" w:styleId="ae">
    <w:name w:val="footnote reference"/>
    <w:basedOn w:val="a0"/>
    <w:semiHidden/>
    <w:unhideWhenUsed/>
    <w:rsid w:val="00D54221"/>
    <w:rPr>
      <w:vertAlign w:val="superscript"/>
    </w:rPr>
  </w:style>
  <w:style w:type="character" w:styleId="af">
    <w:name w:val="Placeholder Text"/>
    <w:basedOn w:val="a0"/>
    <w:uiPriority w:val="99"/>
    <w:semiHidden/>
    <w:rsid w:val="00D542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4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1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geniyanovikovazar@gmail.com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38B31-A798-46CE-9367-225922FDC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</dc:creator>
  <cp:keywords/>
  <dc:description/>
  <cp:lastModifiedBy>evgen</cp:lastModifiedBy>
  <cp:revision>2</cp:revision>
  <dcterms:created xsi:type="dcterms:W3CDTF">2023-02-15T22:09:00Z</dcterms:created>
  <dcterms:modified xsi:type="dcterms:W3CDTF">2023-02-15T22:09:00Z</dcterms:modified>
</cp:coreProperties>
</file>