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Возбуждение квази-антиферромагнитной моды в диэлектрической </w:t>
      </w:r>
      <w:r w:rsidDel="00000000" w:rsidR="00000000" w:rsidRPr="00000000">
        <w:rPr>
          <w:b w:val="1"/>
          <w:highlight w:val="white"/>
          <w:rtl w:val="0"/>
        </w:rPr>
        <w:t xml:space="preserve">плёнке граната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Белькова А.В.</w:t>
      </w:r>
      <w:r w:rsidDel="00000000" w:rsidR="00000000" w:rsidRPr="00000000">
        <w:rPr>
          <w:b w:val="1"/>
          <w:i w:val="1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color w:val="000000"/>
        </w:rPr>
      </w:pPr>
      <w:r w:rsidDel="00000000" w:rsidR="00000000" w:rsidRPr="00000000">
        <w:rPr>
          <w:i w:val="1"/>
          <w:color w:val="000000"/>
          <w:rtl w:val="0"/>
        </w:rPr>
        <w:t xml:space="preserve">Студент, </w:t>
      </w:r>
      <w:r w:rsidDel="00000000" w:rsidR="00000000" w:rsidRPr="00000000">
        <w:rPr>
          <w:i w:val="1"/>
          <w:rtl w:val="0"/>
        </w:rPr>
        <w:t xml:space="preserve">1</w:t>
      </w:r>
      <w:r w:rsidDel="00000000" w:rsidR="00000000" w:rsidRPr="00000000">
        <w:rPr>
          <w:i w:val="1"/>
          <w:color w:val="000000"/>
          <w:rtl w:val="0"/>
        </w:rPr>
        <w:t xml:space="preserve"> курс </w:t>
      </w:r>
      <w:r w:rsidDel="00000000" w:rsidR="00000000" w:rsidRPr="00000000">
        <w:rPr>
          <w:i w:val="1"/>
          <w:rtl w:val="0"/>
        </w:rPr>
        <w:t xml:space="preserve">магистратуры</w:t>
      </w:r>
      <w:r w:rsidDel="00000000" w:rsidR="00000000" w:rsidRPr="00000000">
        <w:rPr>
          <w:i w:val="1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color w:val="000000"/>
        </w:rPr>
      </w:pPr>
      <w:r w:rsidDel="00000000" w:rsidR="00000000" w:rsidRPr="00000000">
        <w:rPr>
          <w:i w:val="1"/>
          <w:color w:val="000000"/>
          <w:rtl w:val="0"/>
        </w:rPr>
        <w:t xml:space="preserve">Московский государственный университет имени М.В. Ломоносова,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color w:val="000000"/>
        </w:rPr>
      </w:pPr>
      <w:r w:rsidDel="00000000" w:rsidR="00000000" w:rsidRPr="00000000">
        <w:rPr>
          <w:i w:val="1"/>
          <w:rtl w:val="0"/>
        </w:rPr>
        <w:t xml:space="preserve">физический факультет</w:t>
      </w:r>
      <w:r w:rsidDel="00000000" w:rsidR="00000000" w:rsidRPr="00000000">
        <w:rPr>
          <w:i w:val="1"/>
          <w:color w:val="000000"/>
          <w:rtl w:val="0"/>
        </w:rPr>
        <w:t xml:space="preserve">, Москва, Россия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i w:val="1"/>
          <w:u w:val="single"/>
        </w:rPr>
      </w:pPr>
      <w:r w:rsidDel="00000000" w:rsidR="00000000" w:rsidRPr="00000000">
        <w:rPr>
          <w:i w:val="1"/>
          <w:color w:val="000000"/>
          <w:rtl w:val="0"/>
        </w:rPr>
        <w:t xml:space="preserve">E-mail: </w:t>
      </w:r>
      <w:r w:rsidDel="00000000" w:rsidR="00000000" w:rsidRPr="00000000">
        <w:rPr>
          <w:i w:val="1"/>
          <w:u w:val="single"/>
          <w:rtl w:val="0"/>
        </w:rPr>
        <w:t xml:space="preserve">belkova.av18@physics.msu.ru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  <w:t xml:space="preserve">Антиферромагнитные (АФМ) диэлектрики являются основными кандидатами для замещения ферромагнетиков в качестве сред, применяемых в высокоскоростным переносом спина [1]. Ультракороткие импульсы света обычно используются для генерации и управления  прецессией спина в антиферромагнетиках. Оптические методы до сих пор ограничивались генерацией </w:t>
      </w:r>
      <m:oMath>
        <m:r>
          <w:rPr/>
          <m:t xml:space="preserve">k=0</m:t>
        </m:r>
      </m:oMath>
      <w:r w:rsidDel="00000000" w:rsidR="00000000" w:rsidRPr="00000000">
        <w:rPr>
          <w:rtl w:val="0"/>
        </w:rPr>
        <w:t xml:space="preserve"> однородных АФМ-магнонов, для которых групповые скорости равны (близки) нулю и не происходит пространственного переноса энергии и углового момента. В этой работе представлен полностью оптический метод возбуждения и детектирования широкополосного волнового пакета коротковолновых когерентно распространяющихся магнонов в  антиферромагнитном диэлектрике.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  <w:t xml:space="preserve">Для проведения эксперимента используется установка накачки-зондирования, в которой импульс накачки и импульс зондирования имеют разные длины волн и мощности. Для детектирования магнонов с ненулевым волновым вектором используется схема эксперимента в отражении, в которой применяется эффект Керра.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  <w:t xml:space="preserve">Образец представляет собой плёнку с составом </w:t>
      </w:r>
      <m:oMath>
        <m:r>
          <w:rPr/>
          <m:t xml:space="preserve">(BiGd</m:t>
        </m:r>
        <m:sSub>
          <m:sSubPr>
            <m:ctrlPr>
              <w:rPr/>
            </m:ctrlPr>
          </m:sSubPr>
          <m:e>
            <m:r>
              <w:rPr/>
              <m:t xml:space="preserve">)</m:t>
            </m:r>
          </m:e>
          <m:sub>
            <m:r>
              <w:rPr/>
              <m:t xml:space="preserve">3</m:t>
            </m:r>
          </m:sub>
        </m:sSub>
        <m:r>
          <w:rPr/>
          <m:t xml:space="preserve">(FeSc</m:t>
        </m:r>
        <m:sSub>
          <m:sSubPr>
            <m:ctrlPr>
              <w:rPr/>
            </m:ctrlPr>
          </m:sSubPr>
          <m:e>
            <m:r>
              <w:rPr/>
              <m:t xml:space="preserve">)</m:t>
            </m:r>
          </m:e>
          <m:sub>
            <m:r>
              <w:rPr/>
              <m:t xml:space="preserve">5</m:t>
            </m:r>
          </m:sub>
        </m:sSub>
        <m:sSub>
          <m:sSubPr>
            <m:ctrlPr>
              <w:rPr/>
            </m:ctrlPr>
          </m:sSubPr>
          <m:e>
            <m:r>
              <w:rPr/>
              <m:t xml:space="preserve">O</m:t>
            </m:r>
          </m:e>
          <m:sub>
            <m:r>
              <w:rPr/>
              <m:t xml:space="preserve">12</m:t>
            </m:r>
          </m:sub>
        </m:sSub>
        <m:r>
          <w:rPr/>
          <m:t xml:space="preserve"> </m:t>
        </m:r>
      </m:oMath>
      <w:r w:rsidDel="00000000" w:rsidR="00000000" w:rsidRPr="00000000">
        <w:rPr>
          <w:rtl w:val="0"/>
        </w:rPr>
        <w:t xml:space="preserve">  толщиной 1.3 мкм, выращенную на подложке ГСГГ </w:t>
      </w:r>
      <m:oMath>
        <m:r>
          <w:rPr>
            <w:highlight w:val="white"/>
          </w:rPr>
          <m:t xml:space="preserve">G</m:t>
        </m:r>
        <m:sSub>
          <m:sSubPr>
            <m:ctrlPr>
              <w:rPr>
                <w:highlight w:val="white"/>
              </w:rPr>
            </m:ctrlPr>
          </m:sSubPr>
          <m:e>
            <m:r>
              <w:rPr>
                <w:highlight w:val="white"/>
              </w:rPr>
              <m:t xml:space="preserve">d</m:t>
            </m:r>
          </m:e>
          <m:sub>
            <m:r>
              <w:rPr>
                <w:highlight w:val="white"/>
              </w:rPr>
              <m:t xml:space="preserve">3</m:t>
            </m:r>
          </m:sub>
        </m:sSub>
        <m:r>
          <w:rPr>
            <w:highlight w:val="white"/>
          </w:rPr>
          <m:t xml:space="preserve">S</m:t>
        </m:r>
        <m:sSub>
          <m:sSubPr>
            <m:ctrlPr>
              <w:rPr>
                <w:highlight w:val="white"/>
              </w:rPr>
            </m:ctrlPr>
          </m:sSubPr>
          <m:e>
            <m:r>
              <w:rPr>
                <w:highlight w:val="white"/>
              </w:rPr>
              <m:t xml:space="preserve">c</m:t>
            </m:r>
          </m:e>
          <m:sub>
            <m:r>
              <w:rPr>
                <w:highlight w:val="white"/>
              </w:rPr>
              <m:t xml:space="preserve">2</m:t>
            </m:r>
          </m:sub>
        </m:sSub>
        <m:r>
          <w:rPr>
            <w:highlight w:val="white"/>
          </w:rPr>
          <m:t xml:space="preserve">G</m:t>
        </m:r>
        <m:sSub>
          <m:sSubPr>
            <m:ctrlPr>
              <w:rPr>
                <w:highlight w:val="white"/>
              </w:rPr>
            </m:ctrlPr>
          </m:sSubPr>
          <m:e>
            <m:r>
              <w:rPr>
                <w:highlight w:val="white"/>
              </w:rPr>
              <m:t xml:space="preserve">a</m:t>
            </m:r>
          </m:e>
          <m:sub>
            <m:r>
              <w:rPr>
                <w:highlight w:val="white"/>
              </w:rPr>
              <m:t xml:space="preserve">3</m:t>
            </m:r>
          </m:sub>
        </m:sSub>
        <m:sSub>
          <m:sSubPr>
            <m:ctrlPr>
              <w:rPr>
                <w:highlight w:val="white"/>
              </w:rPr>
            </m:ctrlPr>
          </m:sSubPr>
          <m:e>
            <m:r>
              <w:rPr>
                <w:highlight w:val="white"/>
              </w:rPr>
              <m:t xml:space="preserve">O</m:t>
            </m:r>
          </m:e>
          <m:sub>
            <m:r>
              <w:rPr>
                <w:highlight w:val="white"/>
              </w:rPr>
              <m:t xml:space="preserve">12</m:t>
            </m:r>
          </m:sub>
        </m:sSub>
      </m:oMath>
      <w:r w:rsidDel="00000000" w:rsidR="00000000" w:rsidRPr="00000000">
        <w:rPr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  <w:t xml:space="preserve">На Рис. 1 представлены результаты моделирования, которые определяют оптимальные параметры для длин волн луча зондирования и длины волн спиновых волн, которые можно зарегистрировать.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453553</wp:posOffset>
            </wp:positionH>
            <wp:positionV relativeFrom="paragraph">
              <wp:posOffset>133350</wp:posOffset>
            </wp:positionV>
            <wp:extent cx="4923624" cy="3797305"/>
            <wp:effectExtent b="0" l="0" r="0" t="0"/>
            <wp:wrapSquare wrapText="bothSides" distB="0" distT="0" distL="0" distR="0"/>
            <wp:docPr id="929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23624" cy="37973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firstLine="397"/>
        <w:jc w:val="both"/>
        <w:rPr/>
      </w:pPr>
      <w:r w:rsidDel="00000000" w:rsidR="00000000" w:rsidRPr="00000000">
        <w:rPr>
          <w:rtl w:val="0"/>
        </w:rPr>
        <w:t xml:space="preserve">Рис. 1. Результаты моделирования модуля угла поворота луча зондирования после отражения от образца в относительных единицах. Моделирование проводилось при распределении гирации (g), совпадающим с профилем распределения поля в образце.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0" w:firstLine="0"/>
        <w:jc w:val="both"/>
        <w:rPr>
          <w:i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Литература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1. </w:t>
      </w:r>
      <w:r w:rsidDel="00000000" w:rsidR="00000000" w:rsidRPr="00000000">
        <w:rPr>
          <w:color w:val="222222"/>
          <w:highlight w:val="white"/>
          <w:rtl w:val="0"/>
        </w:rPr>
        <w:t xml:space="preserve">Hortensius J. R. et al. Coherent spin-wave transport in an antiferromagnet //Nature physics. – 2021. – Т. 17. – №. 9. – С. 1001-1006.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361" w:right="136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391C38"/>
    <w:rPr>
      <w:rFonts w:ascii="Times New Roman" w:cs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 w:val="1"/>
    <w:rsid w:val="00106375"/>
    <w:pPr>
      <w:ind w:left="720"/>
      <w:contextualSpacing w:val="1"/>
    </w:pPr>
  </w:style>
  <w:style w:type="character" w:styleId="a6" w:customStyle="1">
    <w:name w:val="Абзац списка Знак"/>
    <w:basedOn w:val="a0"/>
    <w:link w:val="a5"/>
    <w:uiPriority w:val="34"/>
    <w:locked w:val="1"/>
    <w:rsid w:val="004A26A3"/>
  </w:style>
  <w:style w:type="character" w:styleId="a7">
    <w:name w:val="Placeholder Text"/>
    <w:basedOn w:val="a0"/>
    <w:uiPriority w:val="99"/>
    <w:semiHidden w:val="1"/>
    <w:rsid w:val="00E22189"/>
    <w:rPr>
      <w:color w:val="808080"/>
    </w:rPr>
  </w:style>
  <w:style w:type="paragraph" w:styleId="a8">
    <w:name w:val="No Spacing"/>
    <w:uiPriority w:val="1"/>
    <w:qFormat w:val="1"/>
    <w:rsid w:val="00FF1903"/>
    <w:rPr>
      <w:rFonts w:cs="Times New Roman"/>
      <w:sz w:val="22"/>
      <w:szCs w:val="22"/>
      <w:lang w:bidi="en-US" w:eastAsia="en-US" w:val="en-US"/>
    </w:rPr>
  </w:style>
  <w:style w:type="character" w:styleId="a9">
    <w:name w:val="Hyperlink"/>
    <w:basedOn w:val="a0"/>
    <w:uiPriority w:val="99"/>
    <w:unhideWhenUsed w:val="1"/>
    <w:rsid w:val="00F865B3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 w:val="1"/>
    <w:unhideWhenUsed w:val="1"/>
    <w:rsid w:val="00F865B3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47dVHQPWzGixB/h35BiFAE+yFhw==">AMUW2mW2r5u5jByPhPnap5Tv431TpGQAk991eMdEFl4iBZtpdUynjVVV02TYlYctEuXIGWcgbhhFQPQIaXGinSurIxBXPWlb/bCUI6KNvLecfa5kRaH5ncM=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2022-11-07T09:18:00Z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http://www.zotero.org/styles/gost-r-7-0-5-2008-numeric</vt:lpwstr>
  </property>
  <property fmtid="{D5CDD505-2E9C-101B-9397-08002B2CF9AE}" pid="4" name="Mendeley Unique User Id_1">
    <vt:lpwstr>b09b180f-15e6-39a8-8e02-e401af1d2283</vt:lpwstr>
  </property>
  <property fmtid="{D5CDD505-2E9C-101B-9397-08002B2CF9AE}" pid="5" name="Mendeley Recent Style Id 0_1">
    <vt:lpwstr>http://www.zotero.org/styles/chicago-author-date</vt:lpwstr>
  </property>
  <property fmtid="{D5CDD505-2E9C-101B-9397-08002B2CF9AE}" pid="6" name="Mendeley Recent Style Name 0_1">
    <vt:lpwstr>Chicago Manual of Style 17th edition (author-date)</vt:lpwstr>
  </property>
  <property fmtid="{D5CDD505-2E9C-101B-9397-08002B2CF9AE}" pid="7" name="Mendeley Recent Style Id 1_1">
    <vt:lpwstr>http://www.zotero.org/styles/harvard-cite-them-right</vt:lpwstr>
  </property>
  <property fmtid="{D5CDD505-2E9C-101B-9397-08002B2CF9AE}" pid="8" name="Mendeley Recent Style Name 1_1">
    <vt:lpwstr>Cite Them Right 10th edition - Harvard</vt:lpwstr>
  </property>
  <property fmtid="{D5CDD505-2E9C-101B-9397-08002B2CF9AE}" pid="9" name="Mendeley Recent Style Id 2_1">
    <vt:lpwstr>http://www.zotero.org/styles/ieee</vt:lpwstr>
  </property>
  <property fmtid="{D5CDD505-2E9C-101B-9397-08002B2CF9AE}" pid="10" name="Mendeley Recent Style Name 2_1">
    <vt:lpwstr>IEEE</vt:lpwstr>
  </property>
  <property fmtid="{D5CDD505-2E9C-101B-9397-08002B2CF9AE}" pid="11" name="Mendeley Recent Style Id 3_1">
    <vt:lpwstr>http://www.zotero.org/styles/modern-humanities-research-association</vt:lpwstr>
  </property>
  <property fmtid="{D5CDD505-2E9C-101B-9397-08002B2CF9AE}" pid="12" name="Mendeley Recent Style Name 3_1">
    <vt:lpwstr>Modern Humanities Research Association 3rd edition (note with bibliography)</vt:lpwstr>
  </property>
  <property fmtid="{D5CDD505-2E9C-101B-9397-08002B2CF9AE}" pid="13" name="Mendeley Recent Style Id 4_1">
    <vt:lpwstr>http://www.zotero.org/styles/modern-language-association</vt:lpwstr>
  </property>
  <property fmtid="{D5CDD505-2E9C-101B-9397-08002B2CF9AE}" pid="14" name="Mendeley Recent Style Name 4_1">
    <vt:lpwstr>Modern Language Association 8th edition</vt:lpwstr>
  </property>
  <property fmtid="{D5CDD505-2E9C-101B-9397-08002B2CF9AE}" pid="15" name="Mendeley Recent Style Id 5_1">
    <vt:lpwstr>http://www.zotero.org/styles/nature</vt:lpwstr>
  </property>
  <property fmtid="{D5CDD505-2E9C-101B-9397-08002B2CF9AE}" pid="16" name="Mendeley Recent Style Name 5_1">
    <vt:lpwstr>Nature</vt:lpwstr>
  </property>
  <property fmtid="{D5CDD505-2E9C-101B-9397-08002B2CF9AE}" pid="17" name="Mendeley Recent Style Id 6_1">
    <vt:lpwstr>http://www.zotero.org/styles/russian-chemical-reviews</vt:lpwstr>
  </property>
  <property fmtid="{D5CDD505-2E9C-101B-9397-08002B2CF9AE}" pid="18" name="Mendeley Recent Style Name 6_1">
    <vt:lpwstr>Russian Chemical Reviews</vt:lpwstr>
  </property>
  <property fmtid="{D5CDD505-2E9C-101B-9397-08002B2CF9AE}" pid="19" name="Mendeley Recent Style Id 7_1">
    <vt:lpwstr>http://www.zotero.org/styles/gost-r-7-0-5-2008</vt:lpwstr>
  </property>
  <property fmtid="{D5CDD505-2E9C-101B-9397-08002B2CF9AE}" pid="20" name="Mendeley Recent Style Name 7_1">
    <vt:lpwstr>Russian GOST R 7.0.5-2008 (Russian)</vt:lpwstr>
  </property>
  <property fmtid="{D5CDD505-2E9C-101B-9397-08002B2CF9AE}" pid="21" name="Mendeley Recent Style Id 8_1">
    <vt:lpwstr>http://www.zotero.org/styles/gost-r-7-0-5-2008-numeric</vt:lpwstr>
  </property>
  <property fmtid="{D5CDD505-2E9C-101B-9397-08002B2CF9AE}" pid="22" name="Mendeley Recent Style Name 8_1">
    <vt:lpwstr>Russian GOST R 7.0.5-2008 (numeric)</vt:lpwstr>
  </property>
  <property fmtid="{D5CDD505-2E9C-101B-9397-08002B2CF9AE}" pid="23" name="Mendeley Recent Style Id 9_1">
    <vt:lpwstr>http://csl.mendeley.com/styles/7762213/gost-r-7-0-5-2008-numeric-3</vt:lpwstr>
  </property>
  <property fmtid="{D5CDD505-2E9C-101B-9397-08002B2CF9AE}" pid="24" name="Mendeley Recent Style Name 9_1">
    <vt:lpwstr>Russian GOST R 7.0.5-2008 (numeric) - Alexander Dzuban</vt:lpwstr>
  </property>
</Properties>
</file>