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A83" w:rsidRDefault="00134A83" w:rsidP="00C57CD4">
      <w:pPr>
        <w:pStyle w:val="2"/>
        <w:rPr>
          <w:lang w:val="en-US"/>
        </w:rPr>
      </w:pPr>
      <w:r>
        <w:t>Валидация численной модели плавления октадекана с помощью лабораторного эксперимента</w:t>
      </w:r>
      <w:r w:rsidRPr="00C57CD4">
        <w:rPr>
          <w:lang w:val="en-US"/>
        </w:rPr>
        <w:t xml:space="preserve"> </w:t>
      </w:r>
    </w:p>
    <w:p w:rsidR="00A935EE" w:rsidRDefault="00A935EE" w:rsidP="00C41E2C">
      <w:pPr>
        <w:pStyle w:val="a8"/>
        <w:ind w:left="567"/>
        <w:rPr>
          <w:rFonts w:eastAsiaTheme="majorEastAsia" w:cstheme="majorBidi"/>
          <w:i w:val="0"/>
          <w:szCs w:val="26"/>
          <w:lang w:val="en-US"/>
        </w:rPr>
      </w:pPr>
      <w:bookmarkStart w:id="0" w:name="_GoBack"/>
      <w:bookmarkEnd w:id="0"/>
      <w:r w:rsidRPr="00A935EE">
        <w:rPr>
          <w:rFonts w:eastAsiaTheme="majorEastAsia" w:cstheme="majorBidi"/>
          <w:i w:val="0"/>
          <w:szCs w:val="26"/>
          <w:lang w:val="en-US"/>
        </w:rPr>
        <w:t xml:space="preserve">Validation of a numerical melting model of </w:t>
      </w:r>
      <w:proofErr w:type="spellStart"/>
      <w:r w:rsidRPr="00A935EE">
        <w:rPr>
          <w:rFonts w:eastAsiaTheme="majorEastAsia" w:cstheme="majorBidi"/>
          <w:i w:val="0"/>
          <w:szCs w:val="26"/>
          <w:lang w:val="en-US"/>
        </w:rPr>
        <w:t>octadecan</w:t>
      </w:r>
      <w:proofErr w:type="spellEnd"/>
      <w:r w:rsidRPr="00A935EE">
        <w:rPr>
          <w:rFonts w:eastAsiaTheme="majorEastAsia" w:cstheme="majorBidi"/>
          <w:i w:val="0"/>
          <w:szCs w:val="26"/>
          <w:lang w:val="en-US"/>
        </w:rPr>
        <w:t xml:space="preserve"> using a laboratory experiment </w:t>
      </w:r>
    </w:p>
    <w:p w:rsidR="00D062B4" w:rsidRPr="00A935EE" w:rsidRDefault="00C57CD4" w:rsidP="00C41E2C">
      <w:pPr>
        <w:pStyle w:val="a8"/>
        <w:ind w:left="567"/>
        <w:rPr>
          <w:lang w:val="en-US"/>
        </w:rPr>
      </w:pPr>
      <w:r>
        <w:rPr>
          <w:u w:val="single"/>
        </w:rPr>
        <w:t>Воропаев</w:t>
      </w:r>
      <w:r w:rsidRPr="00A935EE">
        <w:rPr>
          <w:u w:val="single"/>
          <w:lang w:val="en-US"/>
        </w:rPr>
        <w:t xml:space="preserve"> </w:t>
      </w:r>
      <w:r>
        <w:rPr>
          <w:u w:val="single"/>
        </w:rPr>
        <w:t>Р</w:t>
      </w:r>
      <w:r w:rsidRPr="00A935EE">
        <w:rPr>
          <w:u w:val="single"/>
          <w:lang w:val="en-US"/>
        </w:rPr>
        <w:t>.</w:t>
      </w:r>
      <w:r>
        <w:rPr>
          <w:u w:val="single"/>
        </w:rPr>
        <w:t>А</w:t>
      </w:r>
      <w:r w:rsidRPr="00A935EE">
        <w:rPr>
          <w:u w:val="single"/>
          <w:lang w:val="en-US"/>
        </w:rPr>
        <w:t>.</w:t>
      </w:r>
      <w:r w:rsidRPr="00A935EE">
        <w:rPr>
          <w:vertAlign w:val="superscript"/>
          <w:lang w:val="en-US"/>
        </w:rPr>
        <w:t>1,2</w:t>
      </w:r>
    </w:p>
    <w:p w:rsidR="004C2681" w:rsidRDefault="006D1273" w:rsidP="006D1273">
      <w:pPr>
        <w:pStyle w:val="aa"/>
      </w:pPr>
      <w:r w:rsidRPr="006D1273">
        <w:rPr>
          <w:i w:val="0"/>
        </w:rPr>
        <w:t>1)</w:t>
      </w:r>
      <w:r>
        <w:t xml:space="preserve"> </w:t>
      </w:r>
      <w:r w:rsidR="004C2681">
        <w:t>Московский государственный университет имени М.В. Ломоносова, физический факультет, Москва, РФ; 2)</w:t>
      </w:r>
      <w:r w:rsidR="00C57CD4">
        <w:t xml:space="preserve"> ПАО «РКК «Энергия»</w:t>
      </w:r>
      <w:r w:rsidR="004C2681">
        <w:t xml:space="preserve">, </w:t>
      </w:r>
      <w:r w:rsidR="00C57CD4">
        <w:t>Королев</w:t>
      </w:r>
      <w:r w:rsidR="004C2681">
        <w:t>, РФ.</w:t>
      </w:r>
    </w:p>
    <w:p w:rsidR="006D1273" w:rsidRPr="00AE3E65" w:rsidRDefault="00C57CD4" w:rsidP="006D1273">
      <w:pPr>
        <w:pStyle w:val="aa"/>
      </w:pPr>
      <w:proofErr w:type="spellStart"/>
      <w:r>
        <w:rPr>
          <w:lang w:val="en-US"/>
        </w:rPr>
        <w:t>voropaeffff</w:t>
      </w:r>
      <w:proofErr w:type="spellEnd"/>
      <w:r w:rsidRPr="00AE3E65">
        <w:t>@</w:t>
      </w:r>
      <w:proofErr w:type="spellStart"/>
      <w:r>
        <w:rPr>
          <w:lang w:val="en-US"/>
        </w:rPr>
        <w:t>yandex</w:t>
      </w:r>
      <w:proofErr w:type="spellEnd"/>
      <w:r w:rsidRPr="00AE3E65">
        <w:t>.</w:t>
      </w:r>
      <w:proofErr w:type="spellStart"/>
      <w:r>
        <w:rPr>
          <w:lang w:val="en-US"/>
        </w:rPr>
        <w:t>ru</w:t>
      </w:r>
      <w:proofErr w:type="spellEnd"/>
    </w:p>
    <w:p w:rsidR="00C57CD4" w:rsidRPr="00AE3E65" w:rsidRDefault="00101BEF" w:rsidP="005E77A8">
      <w:r>
        <w:rPr>
          <w:b/>
          <w:i/>
          <w:sz w:val="22"/>
        </w:rPr>
        <w:t>Аннотация.</w:t>
      </w:r>
      <w:r>
        <w:rPr>
          <w:i/>
          <w:sz w:val="20"/>
        </w:rPr>
        <w:t xml:space="preserve"> </w:t>
      </w:r>
      <w:r w:rsidR="00AE3E65" w:rsidRPr="00AE3E65">
        <w:t xml:space="preserve">В </w:t>
      </w:r>
      <w:r w:rsidR="00347EE3">
        <w:t>работе</w:t>
      </w:r>
      <w:r w:rsidR="00AE3E65" w:rsidRPr="00AE3E65">
        <w:t xml:space="preserve"> представлены результаты экспериментального и численного исследования процесса плавления, характерного для систем хранения скрытой тепловой энергии. Цель работы — оценить точность численных расчетов, обусловленных естественной конвекцией, с помощью эталонного эксперимента. Исследование сосредоточено на плавлении октадекана [1,2] в цилиндрической стеклянной колбе с теплоизолированными боковыми стенками, нагреваемой с одной стороны постоянной мощностью.</w:t>
      </w:r>
      <w:r w:rsidR="00E027B5">
        <w:t xml:space="preserve"> Результаты показываю</w:t>
      </w:r>
      <w:r w:rsidR="00A759D0">
        <w:t xml:space="preserve"> </w:t>
      </w:r>
      <w:r w:rsidR="00E027B5">
        <w:t>расходимость</w:t>
      </w:r>
      <w:r w:rsidR="00A759D0">
        <w:t xml:space="preserve"> (до 30 %) численных расчетов с экспериментальными данными</w:t>
      </w:r>
      <w:r w:rsidR="00E027B5">
        <w:t xml:space="preserve"> </w:t>
      </w:r>
      <w:r w:rsidR="005E77A8">
        <w:t>при</w:t>
      </w:r>
      <w:r w:rsidR="00A759D0">
        <w:t xml:space="preserve"> больших мощност</w:t>
      </w:r>
      <w:r w:rsidR="005E77A8">
        <w:t>ях нагрева.</w:t>
      </w:r>
      <w:r w:rsidR="00A759D0">
        <w:t xml:space="preserve"> </w:t>
      </w:r>
      <w:r w:rsidR="005E77A8">
        <w:t>О</w:t>
      </w:r>
      <w:r w:rsidR="00A759D0">
        <w:t>днако для м</w:t>
      </w:r>
      <w:r w:rsidR="005E77A8">
        <w:t>еньших</w:t>
      </w:r>
      <w:r w:rsidR="00A759D0">
        <w:t xml:space="preserve"> мощностей таких ошибок не наблюда</w:t>
      </w:r>
      <w:r w:rsidR="005E77A8">
        <w:t>лось</w:t>
      </w:r>
      <w:r w:rsidR="00A759D0">
        <w:t xml:space="preserve">. </w:t>
      </w:r>
      <w:proofErr w:type="gramStart"/>
      <w:r w:rsidR="00347EE3">
        <w:t>Полученная</w:t>
      </w:r>
      <w:proofErr w:type="gramEnd"/>
      <w:r w:rsidR="00347EE3">
        <w:t xml:space="preserve"> расходимость</w:t>
      </w:r>
      <w:r w:rsidR="00A759D0">
        <w:t xml:space="preserve"> может быть связанн</w:t>
      </w:r>
      <w:r w:rsidR="00347EE3">
        <w:t>а</w:t>
      </w:r>
      <w:r w:rsidR="00A759D0">
        <w:t xml:space="preserve"> с использованием приближения Буссинеска, не учитывающем объемное расширения теплоаккумулирующего вещества (ТАВ).</w:t>
      </w:r>
    </w:p>
    <w:p w:rsidR="00110FDA" w:rsidRPr="00F10EF7" w:rsidRDefault="002920E6" w:rsidP="00F10EF7">
      <w:pPr>
        <w:pStyle w:val="3"/>
      </w:pPr>
      <w:r w:rsidRPr="00F10EF7">
        <w:t>Введение</w:t>
      </w:r>
    </w:p>
    <w:p w:rsidR="00DA6E34" w:rsidRDefault="00DA6E34" w:rsidP="00DA6E34">
      <w:proofErr w:type="gramStart"/>
      <w:r>
        <w:rPr>
          <w:rStyle w:val="af6"/>
        </w:rPr>
        <w:t>Процесс теплопередачи во время плавления широко исследуется в последнее время с применением расчетных, численного и экспериментальных методов</w:t>
      </w:r>
      <w:r w:rsidRPr="00FB7828">
        <w:rPr>
          <w:rStyle w:val="af6"/>
        </w:rPr>
        <w:t>.</w:t>
      </w:r>
      <w:proofErr w:type="gramEnd"/>
      <w:r w:rsidRPr="00FB7828">
        <w:rPr>
          <w:rStyle w:val="af6"/>
        </w:rPr>
        <w:t xml:space="preserve"> </w:t>
      </w:r>
      <w:r>
        <w:rPr>
          <w:rStyle w:val="af6"/>
        </w:rPr>
        <w:t xml:space="preserve">Особое внимание уделяется </w:t>
      </w:r>
      <w:proofErr w:type="spellStart"/>
      <w:r>
        <w:rPr>
          <w:rStyle w:val="af6"/>
        </w:rPr>
        <w:t>валидации</w:t>
      </w:r>
      <w:proofErr w:type="spellEnd"/>
      <w:r>
        <w:rPr>
          <w:rStyle w:val="af6"/>
        </w:rPr>
        <w:t xml:space="preserve"> численных моделей.</w:t>
      </w:r>
      <w:r w:rsidR="00F30AB7">
        <w:rPr>
          <w:rStyle w:val="af6"/>
        </w:rPr>
        <w:t xml:space="preserve"> </w:t>
      </w:r>
      <w:r>
        <w:rPr>
          <w:rStyle w:val="af6"/>
        </w:rPr>
        <w:t xml:space="preserve">Однако такие </w:t>
      </w:r>
      <w:r w:rsidR="00347EE3">
        <w:rPr>
          <w:rStyle w:val="af6"/>
        </w:rPr>
        <w:t>экспериментально-расчетные</w:t>
      </w:r>
      <w:r>
        <w:rPr>
          <w:rStyle w:val="af6"/>
        </w:rPr>
        <w:t xml:space="preserve"> исследования, соответствующие трехмерным моделям, немногочисленны.</w:t>
      </w:r>
    </w:p>
    <w:p w:rsidR="00F30AB7" w:rsidRDefault="00F30AB7" w:rsidP="00F30AB7">
      <w:pPr>
        <w:ind w:firstLine="709"/>
      </w:pPr>
      <w:r>
        <w:t xml:space="preserve">Решение задач с движущимися границами сложны, так как закон движения раздела фаз определяется конвекцией в </w:t>
      </w:r>
      <w:proofErr w:type="gramStart"/>
      <w:r>
        <w:t>жидком</w:t>
      </w:r>
      <w:proofErr w:type="gramEnd"/>
      <w:r>
        <w:t xml:space="preserve"> ТАВ, граничными условиями и скоростью с которой скрытое тепло поглощается. Положение границы фазового перехода заранее неизвестно и является частью решения. Определение характеристик теплоотвода при фазовом переходе предполагает решение задачи Стефана для ТАВ. Аналитическое решение данной задачи существует </w:t>
      </w:r>
      <w:r w:rsidR="00347EE3">
        <w:t>только для одномерного случая [3</w:t>
      </w:r>
      <w:r>
        <w:t>]. Для любых других вариантов геометрии используют численные решения. Поэтому тепловой расчет производится численным методом в среде ANSYS Fluent. В</w:t>
      </w:r>
      <w:r w:rsidR="00347EE3">
        <w:t xml:space="preserve"> работах [4,5</w:t>
      </w:r>
      <w:r>
        <w:t xml:space="preserve">] приведены результаты сравнения двух подходов к моделированию процесса плавления для случая нагрева ТАВ от боковой стенки при постоянной температуре. Первый подход, именуемый методом объема жидкости (VOF), основан на модели, учитывающей зависимость теплофизических свойств от температуры, в частности заполнение воздушной прослойки </w:t>
      </w:r>
      <w:r w:rsidRPr="007D0A8A">
        <w:t>расплавленным веществом при его расширении.</w:t>
      </w:r>
      <w:r>
        <w:t xml:space="preserve"> Во втором подходе используется приближение Буссинеска для плотности, в то время как остальные теплофизические свойства принимают постоянные значения. Результаты </w:t>
      </w:r>
      <w:proofErr w:type="spellStart"/>
      <w:r>
        <w:t>валидации</w:t>
      </w:r>
      <w:proofErr w:type="spellEnd"/>
      <w:r>
        <w:t xml:space="preserve"> метода VOF показывают незначительные отклонения расчета (до 4 %) доли жидкой фазы и суммарного теплового потока, однако для скоростей и температур различия более заметны (до 20 %). По мнению авторов </w:t>
      </w:r>
      <w:r w:rsidR="00347EE3">
        <w:t>работы [4</w:t>
      </w:r>
      <w:r w:rsidRPr="00347EE3">
        <w:t>]</w:t>
      </w:r>
      <w:r w:rsidR="00347EE3">
        <w:t>,</w:t>
      </w:r>
      <w:r w:rsidRPr="00A547A5">
        <w:t xml:space="preserve"> </w:t>
      </w:r>
      <w:r w:rsidR="00347EE3">
        <w:t>метод</w:t>
      </w:r>
      <w:r>
        <w:t xml:space="preserve"> VOF предпочтителен для расчета систем с высоким градиентом температур, однако использование приближение Буссинеска даст достаточно точные результаты на этапе проектирования. </w:t>
      </w:r>
    </w:p>
    <w:p w:rsidR="005E77A8" w:rsidRDefault="00347EE3" w:rsidP="00347EE3">
      <w:r>
        <w:t xml:space="preserve">В работе будет использоваться приближение Буссинеска, как более быстрый способ расчетов </w:t>
      </w:r>
      <w:r>
        <w:rPr>
          <w:rStyle w:val="af6"/>
        </w:rPr>
        <w:t>тепловых аккумуляторов в цилиндрических корпусах. Статья содержит результаты численных и лабораторных экспериментов, которые можно использовать для проверки модели нагрева теплоаккумулирующего вещества с постоянной мощностью.</w:t>
      </w:r>
    </w:p>
    <w:p w:rsidR="00BA198D" w:rsidRPr="00BA198D" w:rsidRDefault="002920E6" w:rsidP="00BA198D">
      <w:pPr>
        <w:pStyle w:val="3"/>
      </w:pPr>
      <w:r>
        <w:lastRenderedPageBreak/>
        <w:t>Описание работы</w:t>
      </w:r>
    </w:p>
    <w:p w:rsidR="00CE0A3F" w:rsidRDefault="00347EE3" w:rsidP="00CE0A3F">
      <w:pPr>
        <w:tabs>
          <w:tab w:val="left" w:pos="808"/>
        </w:tabs>
        <w:ind w:firstLine="809"/>
        <w:rPr>
          <w:rFonts w:eastAsiaTheme="minorEastAsia"/>
        </w:rPr>
      </w:pPr>
      <w:r>
        <w:rPr>
          <w:rStyle w:val="af6"/>
          <w:lang w:eastAsia="ru-RU"/>
        </w:rPr>
        <w:t>Лабораторно-исследовательский стенд показан на рисунке 1.</w:t>
      </w:r>
      <w:r w:rsidR="00CE0A3F">
        <w:rPr>
          <w:rStyle w:val="af6"/>
          <w:lang w:eastAsia="ru-RU"/>
        </w:rPr>
        <w:t xml:space="preserve"> </w:t>
      </w:r>
      <w:r w:rsidR="00CE0A3F" w:rsidRPr="00CE0A3F">
        <w:t>ТАВ размещается в вертикально ориентированной колбе с внутренним диаметром и высотой 63,5 мм и 403,8 мм соответственно. Корпус колбы сделан из стекла с толщиной стенки 2,5 мм. Круглый нагреватель из нихромовой нити толщиной 2 мм и диаметром 63,5 мм закреплен на алюминиевую пластину толщиной 7.8 мм для равномерного нагрева ТАВ. Нагреватель питается от лабораторного автотрансформатора с возможностью регулировки мощности нагрева. Большая часть испытательной камеры обмотана пятью слоями теплоизоляции из вспененного полиэтилена, покрытого с одной стороны слоем фольги, и общей толщиной 13,75 мм. В качестве ТАВ используется октадекан 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18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38</m:t>
            </m:r>
          </m:sub>
        </m:sSub>
      </m:oMath>
      <w:r w:rsidR="00CE0A3F" w:rsidRPr="00CE0A3F">
        <w:rPr>
          <w:rFonts w:eastAsiaTheme="minorEastAsia"/>
        </w:rPr>
        <w:t xml:space="preserve">) с температурой плавления 28,18 </w:t>
      </w:r>
      <w:r w:rsidR="00CE0A3F" w:rsidRPr="00CE0A3F">
        <w:rPr>
          <w:rFonts w:eastAsiaTheme="minorEastAsia"/>
          <w:lang w:val="en-US"/>
        </w:rPr>
        <w:t>C</w:t>
      </w:r>
      <w:r w:rsidR="00CE0A3F" w:rsidRPr="00CE0A3F">
        <w:rPr>
          <w:rFonts w:eastAsiaTheme="minorEastAsia" w:cs="Times New Roman"/>
        </w:rPr>
        <w:t>°</w:t>
      </w:r>
      <w:r w:rsidR="00774ADF">
        <w:rPr>
          <w:rFonts w:eastAsiaTheme="minorEastAsia"/>
        </w:rPr>
        <w:t>.</w:t>
      </w:r>
    </w:p>
    <w:p w:rsidR="00BA198D" w:rsidRDefault="00BA198D" w:rsidP="00BA198D">
      <w:pPr>
        <w:tabs>
          <w:tab w:val="left" w:pos="808"/>
        </w:tabs>
        <w:ind w:firstLine="809"/>
        <w:jc w:val="center"/>
        <w:rPr>
          <w:rStyle w:val="af6"/>
        </w:rPr>
      </w:pPr>
      <w:r w:rsidRPr="00390D38">
        <w:rPr>
          <w:rStyle w:val="af6"/>
          <w:noProof/>
          <w:lang w:eastAsia="ru-RU"/>
        </w:rPr>
        <w:drawing>
          <wp:inline distT="0" distB="0" distL="0" distR="0">
            <wp:extent cx="5204002" cy="2855596"/>
            <wp:effectExtent l="19050" t="0" r="0" b="0"/>
            <wp:docPr id="3" name="Рисунок 6" descr="I:\научная работа\Статья\картинки\рис 1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научная работа\Статья\картинки\рис 1_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814" cy="2861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98D" w:rsidRPr="00BA198D" w:rsidRDefault="00BA198D" w:rsidP="00BA198D">
      <w:pPr>
        <w:pStyle w:val="af3"/>
        <w:jc w:val="center"/>
        <w:rPr>
          <w:b/>
        </w:rPr>
      </w:pPr>
      <w:r>
        <w:t xml:space="preserve">Рисунок </w:t>
      </w:r>
      <w:fldSimple w:instr=" SEQ Рисунок \* ARABIC ">
        <w:r>
          <w:rPr>
            <w:noProof/>
          </w:rPr>
          <w:t>1</w:t>
        </w:r>
      </w:fldSimple>
      <w:r>
        <w:t xml:space="preserve">. </w:t>
      </w:r>
      <w:r w:rsidRPr="004C76BF">
        <w:t>Схема лабораторной модели</w:t>
      </w:r>
    </w:p>
    <w:p w:rsidR="00774ADF" w:rsidRDefault="00774ADF" w:rsidP="00CE0A3F">
      <w:pPr>
        <w:tabs>
          <w:tab w:val="left" w:pos="808"/>
        </w:tabs>
        <w:ind w:firstLine="809"/>
        <w:rPr>
          <w:rFonts w:eastAsiaTheme="minorEastAsia"/>
        </w:rPr>
      </w:pPr>
      <w:r>
        <w:rPr>
          <w:rFonts w:eastAsiaTheme="minorEastAsia"/>
        </w:rPr>
        <w:t xml:space="preserve">С помощью датчиков температуры и </w:t>
      </w:r>
      <w:proofErr w:type="spellStart"/>
      <w:r>
        <w:rPr>
          <w:rFonts w:eastAsiaTheme="minorEastAsia"/>
        </w:rPr>
        <w:t>тепловизора</w:t>
      </w:r>
      <w:proofErr w:type="spellEnd"/>
      <w:r>
        <w:rPr>
          <w:rFonts w:eastAsiaTheme="minorEastAsia"/>
        </w:rPr>
        <w:t xml:space="preserve"> оценивались тепловые потери за счет нагрева конструкции, радиационн</w:t>
      </w:r>
      <w:r w:rsidR="00AC1E7E">
        <w:rPr>
          <w:rFonts w:eastAsiaTheme="minorEastAsia"/>
        </w:rPr>
        <w:t>ые</w:t>
      </w:r>
      <w:r>
        <w:rPr>
          <w:rFonts w:eastAsiaTheme="minorEastAsia"/>
        </w:rPr>
        <w:t xml:space="preserve"> и конвективн</w:t>
      </w:r>
      <w:r w:rsidR="00AC1E7E">
        <w:rPr>
          <w:rFonts w:eastAsiaTheme="minorEastAsia"/>
        </w:rPr>
        <w:t>ые</w:t>
      </w:r>
      <w:r>
        <w:rPr>
          <w:rFonts w:eastAsiaTheme="minorEastAsia"/>
        </w:rPr>
        <w:t xml:space="preserve"> излучения во внешнее пространство.</w:t>
      </w:r>
    </w:p>
    <w:p w:rsidR="00FF164D" w:rsidRDefault="00FF164D" w:rsidP="00FF164D">
      <w:pPr>
        <w:rPr>
          <w:rStyle w:val="af6"/>
          <w:lang w:eastAsia="ru-RU"/>
        </w:rPr>
      </w:pPr>
      <w:r>
        <w:rPr>
          <w:rStyle w:val="af6"/>
          <w:lang w:eastAsia="ru-RU"/>
        </w:rPr>
        <w:t xml:space="preserve">Из полученных экспериментальных данных можно сделать оценки коэффициентов теплоотдачи с поверхности теплоизоляции и наружной плоскости ТАВ, и использовать их в качестве ГУ для модели </w:t>
      </w:r>
      <w:r>
        <w:rPr>
          <w:rStyle w:val="af6"/>
          <w:lang w:val="en-US" w:eastAsia="ru-RU"/>
        </w:rPr>
        <w:t>Ansys</w:t>
      </w:r>
      <w:r w:rsidRPr="005E414B">
        <w:rPr>
          <w:rStyle w:val="af6"/>
          <w:lang w:eastAsia="ru-RU"/>
        </w:rPr>
        <w:t xml:space="preserve"> </w:t>
      </w:r>
      <w:r>
        <w:rPr>
          <w:rStyle w:val="af6"/>
          <w:lang w:val="en-US" w:eastAsia="ru-RU"/>
        </w:rPr>
        <w:t>Fluent</w:t>
      </w:r>
      <w:r>
        <w:rPr>
          <w:rStyle w:val="af6"/>
          <w:lang w:eastAsia="ru-RU"/>
        </w:rPr>
        <w:t>.</w:t>
      </w:r>
    </w:p>
    <w:p w:rsidR="00CE0A3F" w:rsidRDefault="00BA198D" w:rsidP="00BA198D">
      <w:pPr>
        <w:rPr>
          <w:rStyle w:val="af6"/>
          <w:lang w:eastAsia="ru-RU"/>
        </w:rPr>
      </w:pPr>
      <w:r>
        <w:rPr>
          <w:rStyle w:val="af6"/>
          <w:lang w:eastAsia="ru-RU"/>
        </w:rPr>
        <w:t xml:space="preserve">Было разработано три численные модели с </w:t>
      </w:r>
      <w:proofErr w:type="gramStart"/>
      <w:r>
        <w:rPr>
          <w:rStyle w:val="af6"/>
          <w:lang w:eastAsia="ru-RU"/>
        </w:rPr>
        <w:t>различными</w:t>
      </w:r>
      <w:proofErr w:type="gramEnd"/>
      <w:r>
        <w:rPr>
          <w:rStyle w:val="af6"/>
          <w:lang w:eastAsia="ru-RU"/>
        </w:rPr>
        <w:t xml:space="preserve"> </w:t>
      </w:r>
      <w:r w:rsidR="00C44928">
        <w:rPr>
          <w:rStyle w:val="af6"/>
          <w:lang w:eastAsia="ru-RU"/>
        </w:rPr>
        <w:t>ГУ</w:t>
      </w:r>
      <w:r>
        <w:rPr>
          <w:rStyle w:val="af6"/>
          <w:lang w:eastAsia="ru-RU"/>
        </w:rPr>
        <w:t xml:space="preserve"> и размерностью. В первой модели использовался двухмерный подход </w:t>
      </w:r>
      <w:r w:rsidR="00C44928">
        <w:rPr>
          <w:rStyle w:val="af6"/>
          <w:lang w:eastAsia="ru-RU"/>
        </w:rPr>
        <w:t>к моделированию и не учитывались</w:t>
      </w:r>
      <w:r>
        <w:rPr>
          <w:rStyle w:val="af6"/>
          <w:lang w:eastAsia="ru-RU"/>
        </w:rPr>
        <w:t xml:space="preserve"> внешние потери тепла при нагреве и плавлении ТАВ. Вторая модель от первой отличается лишь учетом теплопотерь на нагрев конструкции и радиационного излучения. Третья модель использует трехмерный подход к моделированию и учитывает потери тепла в окружающее пространство. Для всех случаев применяется приближение Буссинеска и постоянные свойства ТАВ. Постоянная тепловая мощность подводится снизу</w:t>
      </w:r>
      <w:r w:rsidR="00C44928">
        <w:rPr>
          <w:rStyle w:val="af6"/>
          <w:lang w:eastAsia="ru-RU"/>
        </w:rPr>
        <w:t xml:space="preserve"> от ТАВ</w:t>
      </w:r>
      <w:r>
        <w:rPr>
          <w:rStyle w:val="af6"/>
          <w:lang w:eastAsia="ru-RU"/>
        </w:rPr>
        <w:t>. Соответствующие дискретные ее значения равны: 7,14 Вт и 34,23 Вт.</w:t>
      </w:r>
    </w:p>
    <w:p w:rsidR="002E5CC6" w:rsidRDefault="002E5CC6" w:rsidP="009052AA">
      <w:pPr>
        <w:rPr>
          <w:rStyle w:val="af6"/>
        </w:rPr>
      </w:pPr>
      <w:r>
        <w:t xml:space="preserve">Зависимость доли расплавленного ТАВ для различных моделей при мощности нагрева 34,2 Вт представлен на рисунке 2. Характер движения границы фазового перехода имеет линейных характер за исключением начальных (до 0,1) и конечных (от 0,9) значений коэффициента расплавления - нелинейных участков. Такие нелинейности связаны с нагревом конструкции и конвективным излучением с поверхности теплоизоляции и </w:t>
      </w:r>
      <w:proofErr w:type="gramStart"/>
      <w:r>
        <w:t>нагретого</w:t>
      </w:r>
      <w:proofErr w:type="gramEnd"/>
      <w:r>
        <w:t xml:space="preserve"> ТАВ. Оценить среднюю скорость расплавления можно, найдя угловой коэффициент прямой для каждой зависимость. </w:t>
      </w:r>
      <w:r w:rsidR="009052AA">
        <w:t xml:space="preserve">Большая расходимость в </w:t>
      </w:r>
      <w:r w:rsidR="009052AA">
        <w:lastRenderedPageBreak/>
        <w:t xml:space="preserve">средних скоростях движения границ фазового перехода показывает, что для описания </w:t>
      </w:r>
      <w:r w:rsidR="009052AA" w:rsidRPr="004C76BF">
        <w:t>3-</w:t>
      </w:r>
      <w:r w:rsidR="009052AA">
        <w:t xml:space="preserve">х мерных случаев, модель с приближением </w:t>
      </w:r>
      <w:r w:rsidR="009052AA" w:rsidRPr="009052AA">
        <w:t>Буссинеска дает существенную ошибку</w:t>
      </w:r>
      <w:r w:rsidR="009052AA">
        <w:t xml:space="preserve">. Возможно, модель </w:t>
      </w:r>
      <w:r w:rsidR="009052AA">
        <w:rPr>
          <w:lang w:val="en-US"/>
        </w:rPr>
        <w:t>VOF</w:t>
      </w:r>
      <w:r w:rsidR="009052AA">
        <w:t>, учитывающая объемные расширения ТАВ, даст лучшую верификацию с экспериментальными данными. Однако потребует больше вычислительной мощности. Для меньшей мощности нагрева – 7,1 Вт результат расчета лучше верифицируется с экспериментом. Отличие от эксперимента можно отнести к погрешности измерений.</w:t>
      </w:r>
    </w:p>
    <w:p w:rsidR="00BA198D" w:rsidRDefault="00BA198D" w:rsidP="00BA198D">
      <w:pPr>
        <w:jc w:val="center"/>
        <w:rPr>
          <w:rStyle w:val="af6"/>
        </w:rPr>
      </w:pPr>
      <w:r w:rsidRPr="00BA198D">
        <w:rPr>
          <w:rStyle w:val="af6"/>
          <w:noProof/>
          <w:lang w:eastAsia="ru-RU"/>
        </w:rPr>
        <w:drawing>
          <wp:inline distT="0" distB="0" distL="0" distR="0">
            <wp:extent cx="4627613" cy="3467404"/>
            <wp:effectExtent l="19050" t="0" r="1537" b="0"/>
            <wp:docPr id="8" name="Рисунок 4" descr="I:\научная работа\Статья\картинки\melt_34W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научная работа\Статья\картинки\melt_34W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500" cy="3491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D38" w:rsidRPr="00226C11" w:rsidRDefault="00BA198D" w:rsidP="00873DEA">
      <w:pPr>
        <w:pStyle w:val="af3"/>
        <w:jc w:val="center"/>
        <w:rPr>
          <w:rStyle w:val="af6"/>
        </w:rPr>
      </w:pPr>
      <w:r>
        <w:t>Рисунок 2. Сравнение доли жидкой фазы для 3 численных моделей и эксперимента, мощность 34,2 Вт</w:t>
      </w:r>
    </w:p>
    <w:p w:rsidR="00110FDA" w:rsidRPr="00935E28" w:rsidRDefault="00674FFE" w:rsidP="00F10EF7">
      <w:pPr>
        <w:pStyle w:val="3"/>
        <w:rPr>
          <w:lang w:val="en-US"/>
        </w:rPr>
      </w:pPr>
      <w:r w:rsidRPr="00674FFE">
        <w:t>Литература</w:t>
      </w:r>
    </w:p>
    <w:p w:rsidR="00AE3E65" w:rsidRDefault="00AE3E65" w:rsidP="002A08A3">
      <w:pPr>
        <w:pStyle w:val="a3"/>
        <w:numPr>
          <w:ilvl w:val="0"/>
          <w:numId w:val="4"/>
        </w:numPr>
        <w:ind w:left="567" w:hanging="567"/>
      </w:pPr>
      <w:proofErr w:type="spellStart"/>
      <w:r>
        <w:rPr>
          <w:lang w:val="en-US"/>
        </w:rPr>
        <w:t>Faden</w:t>
      </w:r>
      <w:proofErr w:type="spellEnd"/>
      <w:r w:rsidRPr="00A373F0">
        <w:rPr>
          <w:lang w:val="en-US"/>
        </w:rPr>
        <w:t xml:space="preserve"> </w:t>
      </w:r>
      <w:r>
        <w:rPr>
          <w:lang w:val="en-US"/>
        </w:rPr>
        <w:t>M</w:t>
      </w:r>
      <w:r w:rsidRPr="00A373F0">
        <w:rPr>
          <w:lang w:val="en-US"/>
        </w:rPr>
        <w:t xml:space="preserve">. </w:t>
      </w:r>
      <w:r>
        <w:rPr>
          <w:lang w:val="en-US"/>
        </w:rPr>
        <w:t>et</w:t>
      </w:r>
      <w:r w:rsidRPr="00A373F0">
        <w:rPr>
          <w:lang w:val="en-US"/>
        </w:rPr>
        <w:t xml:space="preserve"> </w:t>
      </w:r>
      <w:r>
        <w:rPr>
          <w:lang w:val="en-US"/>
        </w:rPr>
        <w:t>al</w:t>
      </w:r>
      <w:r w:rsidRPr="00A373F0">
        <w:rPr>
          <w:lang w:val="en-US"/>
        </w:rPr>
        <w:t xml:space="preserve">. </w:t>
      </w:r>
      <w:r>
        <w:rPr>
          <w:lang w:val="en-US"/>
        </w:rPr>
        <w:t xml:space="preserve">Review of </w:t>
      </w:r>
      <w:proofErr w:type="spellStart"/>
      <w:r>
        <w:rPr>
          <w:lang w:val="en-US"/>
        </w:rPr>
        <w:t>thermophysical</w:t>
      </w:r>
      <w:proofErr w:type="spellEnd"/>
      <w:r>
        <w:rPr>
          <w:lang w:val="en-US"/>
        </w:rPr>
        <w:t xml:space="preserve"> property data of </w:t>
      </w:r>
      <w:proofErr w:type="spellStart"/>
      <w:r>
        <w:rPr>
          <w:lang w:val="en-US"/>
        </w:rPr>
        <w:t>octadecane</w:t>
      </w:r>
      <w:proofErr w:type="spellEnd"/>
      <w:r>
        <w:rPr>
          <w:lang w:val="en-US"/>
        </w:rPr>
        <w:t xml:space="preserve"> for phase-change studies //Materials. – 2019. – </w:t>
      </w:r>
      <w:r>
        <w:t>Т</w:t>
      </w:r>
      <w:r>
        <w:rPr>
          <w:lang w:val="en-US"/>
        </w:rPr>
        <w:t xml:space="preserve">. 12. – №. 18. – </w:t>
      </w:r>
      <w:r>
        <w:t>С</w:t>
      </w:r>
      <w:r>
        <w:rPr>
          <w:lang w:val="en-US"/>
        </w:rPr>
        <w:t>. 2974.</w:t>
      </w:r>
    </w:p>
    <w:p w:rsidR="00AE3E65" w:rsidRPr="00AE3E65" w:rsidRDefault="00AE3E65" w:rsidP="002A08A3">
      <w:pPr>
        <w:pStyle w:val="a3"/>
        <w:numPr>
          <w:ilvl w:val="0"/>
          <w:numId w:val="4"/>
        </w:numPr>
        <w:ind w:left="567" w:hanging="567"/>
        <w:rPr>
          <w:rStyle w:val="af7"/>
          <w:rFonts w:cstheme="minorBidi"/>
          <w:szCs w:val="22"/>
          <w:lang w:val="ru-RU"/>
        </w:rPr>
      </w:pPr>
      <w:proofErr w:type="spellStart"/>
      <w:r>
        <w:rPr>
          <w:rStyle w:val="af7"/>
        </w:rPr>
        <w:t>Galione</w:t>
      </w:r>
      <w:proofErr w:type="spellEnd"/>
      <w:r>
        <w:rPr>
          <w:rStyle w:val="af7"/>
        </w:rPr>
        <w:t xml:space="preserve"> PA, </w:t>
      </w:r>
      <w:proofErr w:type="spellStart"/>
      <w:r>
        <w:rPr>
          <w:rStyle w:val="af7"/>
        </w:rPr>
        <w:t>Lehmkuhl</w:t>
      </w:r>
      <w:proofErr w:type="spellEnd"/>
      <w:r>
        <w:rPr>
          <w:rStyle w:val="af7"/>
        </w:rPr>
        <w:t xml:space="preserve"> O, </w:t>
      </w:r>
      <w:proofErr w:type="spellStart"/>
      <w:r>
        <w:rPr>
          <w:rStyle w:val="af7"/>
        </w:rPr>
        <w:t>Rigola</w:t>
      </w:r>
      <w:proofErr w:type="spellEnd"/>
      <w:r>
        <w:rPr>
          <w:rStyle w:val="af7"/>
        </w:rPr>
        <w:t xml:space="preserve"> J, </w:t>
      </w:r>
      <w:proofErr w:type="spellStart"/>
      <w:r>
        <w:rPr>
          <w:rStyle w:val="af7"/>
        </w:rPr>
        <w:t>Oliva</w:t>
      </w:r>
      <w:proofErr w:type="spellEnd"/>
      <w:r>
        <w:rPr>
          <w:rStyle w:val="af7"/>
        </w:rPr>
        <w:t xml:space="preserve"> A. Fixed-grid numerical modeling of melting and solidification using variable thermo-physical properties – Application to the melting of n-</w:t>
      </w:r>
      <w:proofErr w:type="spellStart"/>
      <w:r>
        <w:rPr>
          <w:rStyle w:val="af7"/>
        </w:rPr>
        <w:t>Octadecane</w:t>
      </w:r>
      <w:proofErr w:type="spellEnd"/>
      <w:r>
        <w:rPr>
          <w:rStyle w:val="af7"/>
        </w:rPr>
        <w:t xml:space="preserve"> inside a spherical capsule. </w:t>
      </w:r>
      <w:proofErr w:type="spellStart"/>
      <w:r>
        <w:rPr>
          <w:rStyle w:val="af7"/>
        </w:rPr>
        <w:t>Int</w:t>
      </w:r>
      <w:proofErr w:type="spellEnd"/>
      <w:r>
        <w:rPr>
          <w:rStyle w:val="af7"/>
        </w:rPr>
        <w:t xml:space="preserve"> J Heat Mass </w:t>
      </w:r>
      <w:proofErr w:type="spellStart"/>
      <w:r>
        <w:rPr>
          <w:rStyle w:val="af7"/>
        </w:rPr>
        <w:t>Transf</w:t>
      </w:r>
      <w:proofErr w:type="spellEnd"/>
      <w:r>
        <w:rPr>
          <w:rStyle w:val="af7"/>
        </w:rPr>
        <w:t xml:space="preserve"> 2015</w:t>
      </w:r>
      <w:proofErr w:type="gramStart"/>
      <w:r>
        <w:rPr>
          <w:rStyle w:val="af7"/>
        </w:rPr>
        <w:t>;86:721</w:t>
      </w:r>
      <w:proofErr w:type="gramEnd"/>
      <w:r>
        <w:rPr>
          <w:rStyle w:val="af7"/>
        </w:rPr>
        <w:t>–43.</w:t>
      </w:r>
    </w:p>
    <w:p w:rsidR="00935E28" w:rsidRPr="00347EE3" w:rsidRDefault="00347EE3" w:rsidP="00F30AB7">
      <w:pPr>
        <w:pStyle w:val="a3"/>
        <w:numPr>
          <w:ilvl w:val="0"/>
          <w:numId w:val="4"/>
        </w:numPr>
        <w:ind w:left="567" w:hanging="567"/>
        <w:rPr>
          <w:rStyle w:val="af7"/>
          <w:rFonts w:cstheme="minorBidi"/>
          <w:szCs w:val="22"/>
          <w:lang w:val="ru-RU"/>
        </w:rPr>
      </w:pPr>
      <w:proofErr w:type="spellStart"/>
      <w:r>
        <w:rPr>
          <w:rStyle w:val="af7"/>
          <w:szCs w:val="24"/>
        </w:rPr>
        <w:t>Faghri</w:t>
      </w:r>
      <w:proofErr w:type="spellEnd"/>
      <w:r>
        <w:rPr>
          <w:rStyle w:val="af7"/>
          <w:szCs w:val="24"/>
        </w:rPr>
        <w:t xml:space="preserve"> Amir, Zhang </w:t>
      </w:r>
      <w:proofErr w:type="spellStart"/>
      <w:r>
        <w:rPr>
          <w:rStyle w:val="af7"/>
          <w:szCs w:val="24"/>
        </w:rPr>
        <w:t>Yuwen</w:t>
      </w:r>
      <w:proofErr w:type="spellEnd"/>
      <w:r>
        <w:rPr>
          <w:rStyle w:val="af7"/>
          <w:szCs w:val="24"/>
        </w:rPr>
        <w:t>. Fundamentals</w:t>
      </w:r>
      <w:r>
        <w:rPr>
          <w:rStyle w:val="af7"/>
        </w:rPr>
        <w:t xml:space="preserve"> of Multiphase Heat Transfer and Flow. Springer, 2020.</w:t>
      </w:r>
    </w:p>
    <w:p w:rsidR="00347EE3" w:rsidRPr="00347EE3" w:rsidRDefault="00347EE3" w:rsidP="00F30AB7">
      <w:pPr>
        <w:pStyle w:val="a3"/>
        <w:numPr>
          <w:ilvl w:val="0"/>
          <w:numId w:val="4"/>
        </w:numPr>
        <w:ind w:left="567" w:hanging="567"/>
        <w:rPr>
          <w:rStyle w:val="af7"/>
          <w:rFonts w:cstheme="minorBidi"/>
          <w:szCs w:val="22"/>
          <w:lang w:val="ru-RU"/>
        </w:rPr>
      </w:pPr>
      <w:r>
        <w:rPr>
          <w:rStyle w:val="af7"/>
        </w:rPr>
        <w:t xml:space="preserve">Vogel, Julian, and André Thess. "Validation of a numerical model with a benchmark experiment for melting governed by natural convection in latent thermal energy storage." </w:t>
      </w:r>
      <w:r>
        <w:rPr>
          <w:rStyle w:val="af7"/>
          <w:i/>
        </w:rPr>
        <w:t>Applied Thermal Engineering</w:t>
      </w:r>
      <w:r>
        <w:rPr>
          <w:rStyle w:val="af7"/>
        </w:rPr>
        <w:t xml:space="preserve"> 148 (2019): 147-159.</w:t>
      </w:r>
    </w:p>
    <w:p w:rsidR="00347EE3" w:rsidRPr="00D062B4" w:rsidRDefault="00347EE3" w:rsidP="00F30AB7">
      <w:pPr>
        <w:pStyle w:val="a3"/>
        <w:numPr>
          <w:ilvl w:val="0"/>
          <w:numId w:val="4"/>
        </w:numPr>
        <w:ind w:left="567" w:hanging="567"/>
      </w:pPr>
      <w:r>
        <w:rPr>
          <w:rStyle w:val="af7"/>
        </w:rPr>
        <w:t>Vogel, Julian, and Dan Bauer. "Phase state and velocity measurements with high temporal and spatial resolution during melting of n-</w:t>
      </w:r>
      <w:proofErr w:type="spellStart"/>
      <w:r>
        <w:rPr>
          <w:rStyle w:val="af7"/>
        </w:rPr>
        <w:t>octadecane</w:t>
      </w:r>
      <w:proofErr w:type="spellEnd"/>
      <w:r>
        <w:rPr>
          <w:rStyle w:val="af7"/>
        </w:rPr>
        <w:t xml:space="preserve"> in a rectangular enclosure with two heated vertical sides." </w:t>
      </w:r>
      <w:r>
        <w:rPr>
          <w:rStyle w:val="af7"/>
          <w:i/>
        </w:rPr>
        <w:t>International Journal of Heat and Mass Transfer</w:t>
      </w:r>
      <w:r>
        <w:rPr>
          <w:rStyle w:val="af7"/>
        </w:rPr>
        <w:t xml:space="preserve"> 127 (2018): 1264-127</w:t>
      </w:r>
    </w:p>
    <w:sectPr w:rsidR="00347EE3" w:rsidRPr="00D062B4" w:rsidSect="006F3E2E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FBD" w:rsidRDefault="00760FBD" w:rsidP="00885996">
      <w:r>
        <w:separator/>
      </w:r>
    </w:p>
  </w:endnote>
  <w:endnote w:type="continuationSeparator" w:id="0">
    <w:p w:rsidR="00760FBD" w:rsidRDefault="00760FBD" w:rsidP="008859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0000000000000000000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6500752"/>
      <w:docPartObj>
        <w:docPartGallery w:val="Page Numbers (Bottom of Page)"/>
        <w:docPartUnique/>
      </w:docPartObj>
    </w:sdtPr>
    <w:sdtContent>
      <w:p w:rsidR="00885996" w:rsidRDefault="00FF7B94">
        <w:pPr>
          <w:pStyle w:val="af"/>
          <w:jc w:val="center"/>
        </w:pPr>
        <w:r>
          <w:fldChar w:fldCharType="begin"/>
        </w:r>
        <w:r w:rsidR="00885996">
          <w:instrText>PAGE   \* MERGEFORMAT</w:instrText>
        </w:r>
        <w:r>
          <w:fldChar w:fldCharType="separate"/>
        </w:r>
        <w:r w:rsidR="00A935EE">
          <w:rPr>
            <w:noProof/>
          </w:rPr>
          <w:t>1</w:t>
        </w:r>
        <w:r>
          <w:fldChar w:fldCharType="end"/>
        </w:r>
      </w:p>
    </w:sdtContent>
  </w:sdt>
  <w:p w:rsidR="00885996" w:rsidRDefault="00885996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FBD" w:rsidRDefault="00760FBD" w:rsidP="00885996">
      <w:r>
        <w:separator/>
      </w:r>
    </w:p>
  </w:footnote>
  <w:footnote w:type="continuationSeparator" w:id="0">
    <w:p w:rsidR="00760FBD" w:rsidRDefault="00760FBD" w:rsidP="008859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5612F"/>
    <w:multiLevelType w:val="hybridMultilevel"/>
    <w:tmpl w:val="2D00E626"/>
    <w:lvl w:ilvl="0" w:tplc="CAD00B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855876"/>
    <w:multiLevelType w:val="hybridMultilevel"/>
    <w:tmpl w:val="F4CCB8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8D06C89"/>
    <w:multiLevelType w:val="hybridMultilevel"/>
    <w:tmpl w:val="10D287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2A00C76"/>
    <w:multiLevelType w:val="multilevel"/>
    <w:tmpl w:val="945C1B2E"/>
    <w:lvl w:ilvl="0">
      <w:start w:val="1"/>
      <w:numFmt w:val="decimal"/>
      <w:lvlText w:val="%1)"/>
      <w:lvlJc w:val="left"/>
      <w:pPr>
        <w:ind w:left="1429" w:hanging="72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E459F5"/>
    <w:multiLevelType w:val="hybridMultilevel"/>
    <w:tmpl w:val="BC7425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57CB"/>
    <w:rsid w:val="00101BEF"/>
    <w:rsid w:val="00110FDA"/>
    <w:rsid w:val="00134A83"/>
    <w:rsid w:val="00190427"/>
    <w:rsid w:val="002920E6"/>
    <w:rsid w:val="002A08A3"/>
    <w:rsid w:val="002E5CC6"/>
    <w:rsid w:val="00347EE3"/>
    <w:rsid w:val="00390D38"/>
    <w:rsid w:val="00407AB2"/>
    <w:rsid w:val="00467BCE"/>
    <w:rsid w:val="004C2681"/>
    <w:rsid w:val="004E5E27"/>
    <w:rsid w:val="005E77A8"/>
    <w:rsid w:val="00673B7F"/>
    <w:rsid w:val="00674FFE"/>
    <w:rsid w:val="006D1273"/>
    <w:rsid w:val="006F3E2E"/>
    <w:rsid w:val="0073012A"/>
    <w:rsid w:val="00745A5F"/>
    <w:rsid w:val="00760FBD"/>
    <w:rsid w:val="00774ADF"/>
    <w:rsid w:val="00793142"/>
    <w:rsid w:val="00873DEA"/>
    <w:rsid w:val="00885996"/>
    <w:rsid w:val="009052AA"/>
    <w:rsid w:val="00935E28"/>
    <w:rsid w:val="009527CE"/>
    <w:rsid w:val="009700E9"/>
    <w:rsid w:val="00A23B8A"/>
    <w:rsid w:val="00A759D0"/>
    <w:rsid w:val="00A935EE"/>
    <w:rsid w:val="00AB4E0A"/>
    <w:rsid w:val="00AC1E7E"/>
    <w:rsid w:val="00AE3E65"/>
    <w:rsid w:val="00B14D80"/>
    <w:rsid w:val="00B33238"/>
    <w:rsid w:val="00B675D6"/>
    <w:rsid w:val="00B757CB"/>
    <w:rsid w:val="00BA198D"/>
    <w:rsid w:val="00C41E2C"/>
    <w:rsid w:val="00C44928"/>
    <w:rsid w:val="00C57CD4"/>
    <w:rsid w:val="00CE0A3F"/>
    <w:rsid w:val="00D062B4"/>
    <w:rsid w:val="00DA6E34"/>
    <w:rsid w:val="00E027B5"/>
    <w:rsid w:val="00EA54B6"/>
    <w:rsid w:val="00F10EF7"/>
    <w:rsid w:val="00F30AB7"/>
    <w:rsid w:val="00F3290F"/>
    <w:rsid w:val="00FB28E2"/>
    <w:rsid w:val="00FF164D"/>
    <w:rsid w:val="00FF7B94"/>
  </w:rsids>
  <m:mathPr>
    <m:mathFont m:val="Cambria Math"/>
    <m:brkBin m:val="repeat"/>
    <m:brkBinSub m:val="--"/>
    <m:smallFrac m:val="off"/>
    <m:dispDef/>
    <m:lMargin m:val="0"/>
    <m:rMargin m:val="0"/>
    <m:defJc m:val="left"/>
    <m:wrapRight/>
    <m:intLim m:val="undOvr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E2E"/>
    <w:pPr>
      <w:spacing w:after="0" w:line="240" w:lineRule="auto"/>
      <w:ind w:firstLine="567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673B7F"/>
    <w:pPr>
      <w:keepNext/>
      <w:keepLines/>
      <w:spacing w:before="120" w:after="120"/>
      <w:ind w:firstLine="0"/>
      <w:jc w:val="center"/>
      <w:outlineLvl w:val="0"/>
    </w:pPr>
    <w:rPr>
      <w:rFonts w:eastAsiaTheme="majorEastAsia" w:cstheme="majorBidi"/>
      <w:b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41E2C"/>
    <w:pPr>
      <w:keepNext/>
      <w:keepLines/>
      <w:spacing w:before="120" w:after="120"/>
      <w:ind w:firstLine="0"/>
      <w:jc w:val="center"/>
      <w:outlineLvl w:val="1"/>
    </w:pPr>
    <w:rPr>
      <w:rFonts w:eastAsiaTheme="majorEastAsia" w:cstheme="majorBidi"/>
      <w:b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10EF7"/>
    <w:pPr>
      <w:keepNext/>
      <w:keepLines/>
      <w:spacing w:before="40"/>
      <w:jc w:val="center"/>
      <w:outlineLvl w:val="2"/>
    </w:pPr>
    <w:rPr>
      <w:rFonts w:eastAsiaTheme="majorEastAsia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10EF7"/>
    <w:pPr>
      <w:keepNext/>
      <w:keepLines/>
      <w:spacing w:before="40"/>
      <w:outlineLvl w:val="3"/>
    </w:pPr>
    <w:rPr>
      <w:rFonts w:eastAsiaTheme="majorEastAsia" w:cstheme="majorBidi"/>
      <w:b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3B7F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rsid w:val="00C41E2C"/>
    <w:rPr>
      <w:rFonts w:ascii="Times New Roman" w:eastAsiaTheme="majorEastAsia" w:hAnsi="Times New Roman" w:cstheme="majorBidi"/>
      <w:b/>
      <w:sz w:val="24"/>
      <w:szCs w:val="26"/>
    </w:rPr>
  </w:style>
  <w:style w:type="paragraph" w:styleId="a3">
    <w:name w:val="List Paragraph"/>
    <w:basedOn w:val="a"/>
    <w:uiPriority w:val="34"/>
    <w:qFormat/>
    <w:rsid w:val="00D062B4"/>
    <w:pPr>
      <w:ind w:left="720"/>
      <w:contextualSpacing/>
    </w:pPr>
  </w:style>
  <w:style w:type="paragraph" w:customStyle="1" w:styleId="a4">
    <w:name w:val="Авторы"/>
    <w:basedOn w:val="a"/>
    <w:link w:val="a5"/>
    <w:rsid w:val="00C41E2C"/>
    <w:pPr>
      <w:jc w:val="center"/>
    </w:pPr>
    <w:rPr>
      <w:b/>
      <w:i/>
      <w:vertAlign w:val="superscript"/>
    </w:rPr>
  </w:style>
  <w:style w:type="paragraph" w:customStyle="1" w:styleId="a6">
    <w:name w:val="Авторы тезисов"/>
    <w:basedOn w:val="a4"/>
    <w:link w:val="a7"/>
    <w:rsid w:val="00C41E2C"/>
  </w:style>
  <w:style w:type="character" w:customStyle="1" w:styleId="a5">
    <w:name w:val="Авторы Знак"/>
    <w:basedOn w:val="a0"/>
    <w:link w:val="a4"/>
    <w:rsid w:val="00C41E2C"/>
    <w:rPr>
      <w:rFonts w:ascii="Times New Roman" w:hAnsi="Times New Roman"/>
      <w:b/>
      <w:i/>
      <w:sz w:val="24"/>
      <w:vertAlign w:val="superscript"/>
    </w:rPr>
  </w:style>
  <w:style w:type="paragraph" w:customStyle="1" w:styleId="a8">
    <w:name w:val="Авторы текстов"/>
    <w:basedOn w:val="a"/>
    <w:link w:val="a9"/>
    <w:qFormat/>
    <w:rsid w:val="004C2681"/>
    <w:pPr>
      <w:spacing w:before="60" w:after="60"/>
      <w:ind w:firstLine="0"/>
      <w:jc w:val="center"/>
    </w:pPr>
    <w:rPr>
      <w:b/>
      <w:i/>
    </w:rPr>
  </w:style>
  <w:style w:type="character" w:customStyle="1" w:styleId="a7">
    <w:name w:val="Авторы тезисов Знак"/>
    <w:basedOn w:val="a5"/>
    <w:link w:val="a6"/>
    <w:rsid w:val="00C41E2C"/>
    <w:rPr>
      <w:rFonts w:ascii="Times New Roman" w:hAnsi="Times New Roman"/>
      <w:b/>
      <w:i/>
      <w:sz w:val="24"/>
      <w:vertAlign w:val="superscript"/>
    </w:rPr>
  </w:style>
  <w:style w:type="paragraph" w:customStyle="1" w:styleId="aa">
    <w:name w:val="Места работы"/>
    <w:basedOn w:val="a8"/>
    <w:link w:val="ab"/>
    <w:qFormat/>
    <w:rsid w:val="00EA54B6"/>
    <w:rPr>
      <w:b w:val="0"/>
    </w:rPr>
  </w:style>
  <w:style w:type="character" w:customStyle="1" w:styleId="a9">
    <w:name w:val="Авторы текстов Знак"/>
    <w:basedOn w:val="a0"/>
    <w:link w:val="a8"/>
    <w:rsid w:val="004C2681"/>
    <w:rPr>
      <w:rFonts w:ascii="Times New Roman" w:hAnsi="Times New Roman"/>
      <w:b/>
      <w:i/>
      <w:sz w:val="24"/>
    </w:rPr>
  </w:style>
  <w:style w:type="character" w:styleId="ac">
    <w:name w:val="Hyperlink"/>
    <w:basedOn w:val="a0"/>
    <w:uiPriority w:val="99"/>
    <w:unhideWhenUsed/>
    <w:rsid w:val="004E5E27"/>
    <w:rPr>
      <w:color w:val="0563C1" w:themeColor="hyperlink"/>
      <w:u w:val="single"/>
    </w:rPr>
  </w:style>
  <w:style w:type="character" w:customStyle="1" w:styleId="ab">
    <w:name w:val="Места работы Знак"/>
    <w:basedOn w:val="a9"/>
    <w:link w:val="aa"/>
    <w:rsid w:val="00EA54B6"/>
    <w:rPr>
      <w:rFonts w:ascii="Times New Roman" w:hAnsi="Times New Roman"/>
      <w:b w:val="0"/>
      <w:i/>
      <w:sz w:val="24"/>
    </w:rPr>
  </w:style>
  <w:style w:type="paragraph" w:styleId="ad">
    <w:name w:val="header"/>
    <w:basedOn w:val="a"/>
    <w:link w:val="ae"/>
    <w:uiPriority w:val="99"/>
    <w:unhideWhenUsed/>
    <w:rsid w:val="0088599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85996"/>
    <w:rPr>
      <w:rFonts w:ascii="Times New Roman" w:hAnsi="Times New Roman"/>
      <w:sz w:val="24"/>
    </w:rPr>
  </w:style>
  <w:style w:type="paragraph" w:styleId="af">
    <w:name w:val="footer"/>
    <w:basedOn w:val="a"/>
    <w:link w:val="af0"/>
    <w:uiPriority w:val="99"/>
    <w:unhideWhenUsed/>
    <w:rsid w:val="0088599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85996"/>
    <w:rPr>
      <w:rFonts w:ascii="Times New Roman" w:hAnsi="Times New Roman"/>
      <w:sz w:val="24"/>
    </w:rPr>
  </w:style>
  <w:style w:type="table" w:styleId="af1">
    <w:name w:val="Table Grid"/>
    <w:basedOn w:val="a1"/>
    <w:uiPriority w:val="39"/>
    <w:rsid w:val="00AB4E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Placeholder Text"/>
    <w:basedOn w:val="a0"/>
    <w:uiPriority w:val="99"/>
    <w:semiHidden/>
    <w:rsid w:val="00AB4E0A"/>
    <w:rPr>
      <w:color w:val="808080"/>
    </w:rPr>
  </w:style>
  <w:style w:type="paragraph" w:styleId="af3">
    <w:name w:val="caption"/>
    <w:basedOn w:val="a"/>
    <w:next w:val="a"/>
    <w:uiPriority w:val="35"/>
    <w:unhideWhenUsed/>
    <w:qFormat/>
    <w:rsid w:val="00F3290F"/>
    <w:pPr>
      <w:spacing w:before="240" w:after="120"/>
    </w:pPr>
    <w:rPr>
      <w:iCs/>
      <w:szCs w:val="18"/>
    </w:rPr>
  </w:style>
  <w:style w:type="character" w:customStyle="1" w:styleId="30">
    <w:name w:val="Заголовок 3 Знак"/>
    <w:basedOn w:val="a0"/>
    <w:link w:val="3"/>
    <w:uiPriority w:val="9"/>
    <w:rsid w:val="00F10EF7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10EF7"/>
    <w:rPr>
      <w:rFonts w:ascii="Times New Roman" w:eastAsiaTheme="majorEastAsia" w:hAnsi="Times New Roman" w:cstheme="majorBidi"/>
      <w:b/>
      <w:i/>
      <w:iCs/>
      <w:sz w:val="24"/>
    </w:rPr>
  </w:style>
  <w:style w:type="paragraph" w:styleId="af4">
    <w:name w:val="Balloon Text"/>
    <w:basedOn w:val="a"/>
    <w:link w:val="af5"/>
    <w:uiPriority w:val="99"/>
    <w:semiHidden/>
    <w:unhideWhenUsed/>
    <w:rsid w:val="00B14D80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B14D80"/>
    <w:rPr>
      <w:rFonts w:ascii="Tahoma" w:hAnsi="Tahoma" w:cs="Tahoma"/>
      <w:sz w:val="16"/>
      <w:szCs w:val="16"/>
    </w:rPr>
  </w:style>
  <w:style w:type="character" w:customStyle="1" w:styleId="af6">
    <w:name w:val="Название статьи Знак"/>
    <w:basedOn w:val="a0"/>
    <w:qFormat/>
    <w:rsid w:val="00AE3E65"/>
  </w:style>
  <w:style w:type="character" w:customStyle="1" w:styleId="af7">
    <w:name w:val="список литературы Знак"/>
    <w:basedOn w:val="a0"/>
    <w:qFormat/>
    <w:rsid w:val="00AE3E65"/>
    <w:rPr>
      <w:rFonts w:cs="Times New Roman"/>
      <w:szCs w:val="28"/>
      <w:lang w:val="en-US"/>
    </w:rPr>
  </w:style>
  <w:style w:type="paragraph" w:customStyle="1" w:styleId="af8">
    <w:name w:val="подпись к рисункам"/>
    <w:basedOn w:val="af3"/>
    <w:qFormat/>
    <w:rsid w:val="00BA198D"/>
    <w:pPr>
      <w:spacing w:before="0" w:after="200"/>
      <w:ind w:firstLine="709"/>
      <w:jc w:val="center"/>
    </w:pPr>
    <w:rPr>
      <w:rFonts w:eastAsia="Calibri"/>
      <w:i/>
      <w:color w:val="000000" w:themeColor="text1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9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FA9B5-C671-4C18-BE3D-D5BC33A97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3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frosich</dc:creator>
  <cp:keywords/>
  <dc:description/>
  <cp:lastModifiedBy>Евгения</cp:lastModifiedBy>
  <cp:revision>43</cp:revision>
  <dcterms:created xsi:type="dcterms:W3CDTF">2023-01-05T11:40:00Z</dcterms:created>
  <dcterms:modified xsi:type="dcterms:W3CDTF">2023-03-03T08:56:00Z</dcterms:modified>
</cp:coreProperties>
</file>