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0056" w14:textId="5A7A7A4A" w:rsidR="00DA674E" w:rsidRPr="00807506" w:rsidRDefault="00DA674E" w:rsidP="00955E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7506">
        <w:rPr>
          <w:rFonts w:ascii="Times New Roman" w:hAnsi="Times New Roman" w:cs="Times New Roman"/>
          <w:b/>
          <w:bCs/>
          <w:sz w:val="28"/>
          <w:szCs w:val="28"/>
        </w:rPr>
        <w:t>Ходеева Надежда Александровна</w:t>
      </w:r>
    </w:p>
    <w:p w14:paraId="111CE165" w14:textId="77777777" w:rsidR="00807506" w:rsidRPr="00807506" w:rsidRDefault="00807506" w:rsidP="00955E3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506">
        <w:rPr>
          <w:rFonts w:ascii="Times New Roman" w:eastAsia="Times New Roman" w:hAnsi="Times New Roman" w:cs="Times New Roman"/>
          <w:sz w:val="28"/>
          <w:szCs w:val="28"/>
        </w:rPr>
        <w:t>Национальный исследовательский</w:t>
      </w:r>
    </w:p>
    <w:p w14:paraId="32AD39FD" w14:textId="382D99BD" w:rsidR="00807506" w:rsidRPr="00807506" w:rsidRDefault="00807506" w:rsidP="00955E3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506">
        <w:rPr>
          <w:rFonts w:ascii="Times New Roman" w:eastAsia="Times New Roman" w:hAnsi="Times New Roman" w:cs="Times New Roman"/>
          <w:sz w:val="28"/>
          <w:szCs w:val="28"/>
        </w:rPr>
        <w:t>Нижегородский государственный университет им. Н.И. Лобачевского</w:t>
      </w:r>
    </w:p>
    <w:p w14:paraId="701429D1" w14:textId="07124C92" w:rsidR="00807506" w:rsidRPr="00807506" w:rsidRDefault="0040470B" w:rsidP="00955E3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807506" w:rsidRPr="0080750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nadya_hodeeva@mail.ru</w:t>
        </w:r>
      </w:hyperlink>
    </w:p>
    <w:p w14:paraId="393BA919" w14:textId="37022E55" w:rsidR="00807506" w:rsidRPr="00807506" w:rsidRDefault="00807506" w:rsidP="00955E3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506">
        <w:rPr>
          <w:rFonts w:ascii="Times New Roman" w:eastAsia="Times New Roman" w:hAnsi="Times New Roman" w:cs="Times New Roman"/>
          <w:sz w:val="28"/>
          <w:szCs w:val="28"/>
        </w:rPr>
        <w:t>603950, г. Нижний Новгород, пр. Гагарина, 23, корп. 2</w:t>
      </w:r>
    </w:p>
    <w:p w14:paraId="27B26138" w14:textId="77777777" w:rsidR="00DA674E" w:rsidRDefault="00DA674E" w:rsidP="00955E3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4CC4CDA" w14:textId="561C89BD" w:rsidR="000B2DEA" w:rsidRPr="00807506" w:rsidRDefault="00635349" w:rsidP="00955E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506">
        <w:rPr>
          <w:rFonts w:ascii="Times New Roman" w:hAnsi="Times New Roman" w:cs="Times New Roman"/>
          <w:b/>
          <w:bCs/>
          <w:sz w:val="28"/>
          <w:szCs w:val="28"/>
        </w:rPr>
        <w:t>Профессиональная аспирантура для наукоемких отраслей экономики: оценка востребованности в России</w:t>
      </w:r>
    </w:p>
    <w:p w14:paraId="5C9F2F92" w14:textId="77777777" w:rsidR="00635349" w:rsidRPr="00807506" w:rsidRDefault="00635349" w:rsidP="00955E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C8042" w14:textId="6BA85F6B" w:rsidR="00A3682E" w:rsidRPr="00807506" w:rsidRDefault="00672025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506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>С</w:t>
      </w:r>
      <w:r w:rsidR="00256003" w:rsidRPr="00807506">
        <w:rPr>
          <w:rFonts w:ascii="Times New Roman" w:hAnsi="Times New Roman" w:cs="Times New Roman"/>
          <w:i/>
          <w:sz w:val="28"/>
          <w:szCs w:val="28"/>
        </w:rPr>
        <w:t>овременная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российская аспирантура ориентирована на подготовку кадров для науки и высшей школы</w:t>
      </w:r>
      <w:r w:rsidR="00635349" w:rsidRPr="00807506">
        <w:rPr>
          <w:rFonts w:ascii="Times New Roman" w:hAnsi="Times New Roman" w:cs="Times New Roman"/>
          <w:i/>
          <w:sz w:val="28"/>
          <w:szCs w:val="28"/>
        </w:rPr>
        <w:t>. При организации и проектировании аспирантских программ университеты</w:t>
      </w:r>
      <w:r w:rsidR="00256003" w:rsidRPr="00807506">
        <w:rPr>
          <w:rFonts w:ascii="Times New Roman" w:hAnsi="Times New Roman" w:cs="Times New Roman"/>
          <w:i/>
          <w:sz w:val="28"/>
          <w:szCs w:val="28"/>
        </w:rPr>
        <w:t>, как правило,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не учитыва</w:t>
      </w:r>
      <w:r w:rsidR="00635349" w:rsidRPr="00807506">
        <w:rPr>
          <w:rFonts w:ascii="Times New Roman" w:hAnsi="Times New Roman" w:cs="Times New Roman"/>
          <w:i/>
          <w:sz w:val="28"/>
          <w:szCs w:val="28"/>
        </w:rPr>
        <w:t>ю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635349" w:rsidRPr="00807506">
        <w:rPr>
          <w:rFonts w:ascii="Times New Roman" w:hAnsi="Times New Roman" w:cs="Times New Roman"/>
          <w:i/>
          <w:sz w:val="28"/>
          <w:szCs w:val="28"/>
        </w:rPr>
        <w:t>профессиональные планы и потребности аспирантов, нацеленных на карьеры в наукоемких отраслях экономики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. </w:t>
      </w:r>
      <w:bookmarkStart w:id="0" w:name="_Hlk100223809"/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В настоящей работе </w:t>
      </w:r>
      <w:r w:rsidR="00256003" w:rsidRPr="00807506">
        <w:rPr>
          <w:rFonts w:ascii="Times New Roman" w:hAnsi="Times New Roman" w:cs="Times New Roman"/>
          <w:i/>
          <w:sz w:val="28"/>
          <w:szCs w:val="28"/>
        </w:rPr>
        <w:t>приведены первые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результаты </w:t>
      </w:r>
      <w:r w:rsidR="00635349" w:rsidRPr="00807506">
        <w:rPr>
          <w:rFonts w:ascii="Times New Roman" w:hAnsi="Times New Roman" w:cs="Times New Roman"/>
          <w:i/>
          <w:sz w:val="28"/>
          <w:szCs w:val="28"/>
        </w:rPr>
        <w:t xml:space="preserve">исследования диссертационных </w:t>
      </w:r>
      <w:r w:rsidR="00C66AE9" w:rsidRPr="00807506">
        <w:rPr>
          <w:rFonts w:ascii="Times New Roman" w:hAnsi="Times New Roman" w:cs="Times New Roman"/>
          <w:i/>
          <w:sz w:val="28"/>
          <w:szCs w:val="28"/>
        </w:rPr>
        <w:t xml:space="preserve">работ </w:t>
      </w:r>
      <w:r w:rsidR="00635349" w:rsidRPr="00807506">
        <w:rPr>
          <w:rFonts w:ascii="Times New Roman" w:hAnsi="Times New Roman" w:cs="Times New Roman"/>
          <w:i/>
          <w:sz w:val="28"/>
          <w:szCs w:val="28"/>
        </w:rPr>
        <w:t>и карьерных треков выпускников аспирантуры в области технических наук</w:t>
      </w:r>
      <w:r w:rsidR="00256003" w:rsidRPr="00807506">
        <w:rPr>
          <w:rFonts w:ascii="Times New Roman" w:hAnsi="Times New Roman" w:cs="Times New Roman"/>
          <w:i/>
          <w:sz w:val="28"/>
          <w:szCs w:val="28"/>
        </w:rPr>
        <w:t>, нацеленного на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003" w:rsidRPr="00807506">
        <w:rPr>
          <w:rFonts w:ascii="Times New Roman" w:hAnsi="Times New Roman" w:cs="Times New Roman"/>
          <w:i/>
          <w:sz w:val="28"/>
          <w:szCs w:val="28"/>
        </w:rPr>
        <w:t>выявление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: 1)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дол</w:t>
      </w:r>
      <w:r w:rsidR="00256003" w:rsidRPr="00807506">
        <w:rPr>
          <w:rFonts w:ascii="Times New Roman" w:hAnsi="Times New Roman" w:cs="Times New Roman"/>
          <w:i/>
          <w:sz w:val="28"/>
          <w:szCs w:val="28"/>
        </w:rPr>
        <w:t>и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 xml:space="preserve">выпускников аспирантур – кандидатов </w:t>
      </w:r>
      <w:r w:rsidR="00C66AE9" w:rsidRPr="00807506">
        <w:rPr>
          <w:rFonts w:ascii="Times New Roman" w:hAnsi="Times New Roman" w:cs="Times New Roman"/>
          <w:i/>
          <w:sz w:val="28"/>
          <w:szCs w:val="28"/>
        </w:rPr>
        <w:t xml:space="preserve">технических 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наук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>, трудоустроенных за пределами академического сектора</w:t>
      </w:r>
      <w:r w:rsidR="0045314A" w:rsidRPr="00807506">
        <w:rPr>
          <w:rFonts w:ascii="Times New Roman" w:hAnsi="Times New Roman" w:cs="Times New Roman"/>
          <w:i/>
          <w:sz w:val="28"/>
          <w:szCs w:val="28"/>
        </w:rPr>
        <w:t>;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>масштаб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ов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 xml:space="preserve"> распростр</w:t>
      </w:r>
      <w:r w:rsidR="0045314A" w:rsidRPr="00807506">
        <w:rPr>
          <w:rFonts w:ascii="Times New Roman" w:hAnsi="Times New Roman" w:cs="Times New Roman"/>
          <w:i/>
          <w:sz w:val="28"/>
          <w:szCs w:val="28"/>
        </w:rPr>
        <w:t xml:space="preserve">аненности диссертаций, тематика которых связана с </w:t>
      </w:r>
      <w:r w:rsidR="00EF314A" w:rsidRPr="00807506">
        <w:rPr>
          <w:rFonts w:ascii="Times New Roman" w:hAnsi="Times New Roman" w:cs="Times New Roman"/>
          <w:i/>
          <w:sz w:val="28"/>
          <w:szCs w:val="28"/>
        </w:rPr>
        <w:t>пр</w:t>
      </w:r>
      <w:r w:rsidR="00C66AE9" w:rsidRPr="00807506">
        <w:rPr>
          <w:rFonts w:ascii="Times New Roman" w:hAnsi="Times New Roman" w:cs="Times New Roman"/>
          <w:i/>
          <w:sz w:val="28"/>
          <w:szCs w:val="28"/>
        </w:rPr>
        <w:t xml:space="preserve">офессиональной </w:t>
      </w:r>
      <w:r w:rsidR="007A329A" w:rsidRPr="00807506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="0045314A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их авторов</w:t>
      </w:r>
      <w:r w:rsidR="0045314A" w:rsidRPr="0080750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3) реальных практик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 xml:space="preserve"> подготовки диссертаци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й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AE9" w:rsidRPr="00807506">
        <w:rPr>
          <w:rFonts w:ascii="Times New Roman" w:hAnsi="Times New Roman" w:cs="Times New Roman"/>
          <w:i/>
          <w:sz w:val="28"/>
          <w:szCs w:val="28"/>
        </w:rPr>
        <w:t>при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 xml:space="preserve"> взаимодействи</w:t>
      </w:r>
      <w:r w:rsidR="00C66AE9" w:rsidRPr="00807506">
        <w:rPr>
          <w:rFonts w:ascii="Times New Roman" w:hAnsi="Times New Roman" w:cs="Times New Roman"/>
          <w:i/>
          <w:sz w:val="28"/>
          <w:szCs w:val="28"/>
        </w:rPr>
        <w:t>и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ов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 xml:space="preserve"> и предприяти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й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>-работодател</w:t>
      </w:r>
      <w:r w:rsidR="00B02DDE" w:rsidRPr="00807506">
        <w:rPr>
          <w:rFonts w:ascii="Times New Roman" w:hAnsi="Times New Roman" w:cs="Times New Roman"/>
          <w:i/>
          <w:sz w:val="28"/>
          <w:szCs w:val="28"/>
        </w:rPr>
        <w:t>ей</w:t>
      </w:r>
      <w:r w:rsidR="009B58FB" w:rsidRPr="00807506">
        <w:rPr>
          <w:rFonts w:ascii="Times New Roman" w:hAnsi="Times New Roman" w:cs="Times New Roman"/>
          <w:i/>
          <w:sz w:val="28"/>
          <w:szCs w:val="28"/>
        </w:rPr>
        <w:t>.</w:t>
      </w:r>
      <w:bookmarkEnd w:id="0"/>
      <w:r w:rsidR="009B58FB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>П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>олученны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>е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7F2" w:rsidRPr="00807506">
        <w:rPr>
          <w:rFonts w:ascii="Times New Roman" w:hAnsi="Times New Roman" w:cs="Times New Roman"/>
          <w:i/>
          <w:sz w:val="28"/>
          <w:szCs w:val="28"/>
        </w:rPr>
        <w:t>данны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>е</w:t>
      </w:r>
      <w:r w:rsidR="00342706" w:rsidRPr="0080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>актуализиру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>ют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 xml:space="preserve"> дискусси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>ю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 xml:space="preserve"> о востребованности и необходимости институционализации в России 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 xml:space="preserve">целевых 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 xml:space="preserve">практико-ориентированных аспирантских программ, 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 xml:space="preserve">основанных 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7148F" w:rsidRPr="00807506">
        <w:rPr>
          <w:rFonts w:ascii="Times New Roman" w:hAnsi="Times New Roman" w:cs="Times New Roman"/>
          <w:i/>
          <w:sz w:val="28"/>
          <w:szCs w:val="28"/>
        </w:rPr>
        <w:t>взаимодействии</w:t>
      </w:r>
      <w:r w:rsidR="00BA2857" w:rsidRPr="00807506">
        <w:rPr>
          <w:rFonts w:ascii="Times New Roman" w:hAnsi="Times New Roman" w:cs="Times New Roman"/>
          <w:i/>
          <w:sz w:val="28"/>
          <w:szCs w:val="28"/>
        </w:rPr>
        <w:t xml:space="preserve"> университетов и индустрии</w:t>
      </w:r>
      <w:r w:rsidR="00C73756" w:rsidRPr="00807506">
        <w:rPr>
          <w:rFonts w:ascii="Times New Roman" w:hAnsi="Times New Roman" w:cs="Times New Roman"/>
          <w:i/>
          <w:sz w:val="28"/>
          <w:szCs w:val="28"/>
        </w:rPr>
        <w:t>.</w:t>
      </w:r>
    </w:p>
    <w:p w14:paraId="7509B73B" w14:textId="1AB0B13B" w:rsidR="00672025" w:rsidRDefault="00672025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506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="00117D96" w:rsidRPr="0080750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459A8" w:rsidRPr="00807506">
        <w:rPr>
          <w:rFonts w:ascii="Times New Roman" w:hAnsi="Times New Roman" w:cs="Times New Roman"/>
          <w:i/>
          <w:sz w:val="28"/>
          <w:szCs w:val="28"/>
        </w:rPr>
        <w:t>асп</w:t>
      </w:r>
      <w:r w:rsidR="00117D96" w:rsidRPr="00807506">
        <w:rPr>
          <w:rFonts w:ascii="Times New Roman" w:hAnsi="Times New Roman" w:cs="Times New Roman"/>
          <w:i/>
          <w:sz w:val="28"/>
          <w:szCs w:val="28"/>
        </w:rPr>
        <w:t>ирантура, практико-ориентированные аспирантские программы, взаимодействие университетов и рынков труда, наукоемкие отрасли экономики.</w:t>
      </w:r>
    </w:p>
    <w:p w14:paraId="42199461" w14:textId="6A5E1F35" w:rsidR="001272D4" w:rsidRDefault="001272D4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E02984" w14:textId="6B7231EE" w:rsidR="001272D4" w:rsidRDefault="001272D4" w:rsidP="00955E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3E340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 xml:space="preserve">Professional Doctorates for </w:t>
      </w:r>
      <w:r w:rsid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cience</w:t>
      </w:r>
      <w:r w:rsidR="00E802CA" w:rsidRPr="00E802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-</w:t>
      </w:r>
      <w:r w:rsid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ntensive </w:t>
      </w:r>
      <w:r w:rsid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ectors of the </w:t>
      </w:r>
      <w:r w:rsid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E</w:t>
      </w:r>
      <w:r w:rsidRPr="003E34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conomy: Assessment of Demand in Russia</w:t>
      </w:r>
    </w:p>
    <w:p w14:paraId="620915DF" w14:textId="77777777" w:rsidR="003E3403" w:rsidRPr="003E3403" w:rsidRDefault="003E3403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14:paraId="16DDA216" w14:textId="55CF99EA" w:rsidR="006B33A4" w:rsidRPr="00415D2D" w:rsidRDefault="006B33A4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6B33A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Abstract. </w:t>
      </w:r>
      <w:r w:rsidR="00DA1DD4" w:rsidRPr="00DA1DD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Modern Russian </w:t>
      </w:r>
      <w:r w:rsidR="00DA1DD4" w:rsidRPr="006B33A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doctoral education</w:t>
      </w:r>
      <w:r w:rsidR="00DA1DD4" w:rsidRPr="00DA1DD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is focused on training </w:t>
      </w:r>
      <w:r w:rsidR="00DA1DD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of </w:t>
      </w:r>
      <w:r w:rsidR="00DA1DD4" w:rsidRPr="00DA1DD4">
        <w:rPr>
          <w:rFonts w:ascii="Times New Roman" w:hAnsi="Times New Roman" w:cs="Times New Roman"/>
          <w:bCs/>
          <w:i/>
          <w:sz w:val="28"/>
          <w:szCs w:val="28"/>
          <w:lang w:val="en-US"/>
        </w:rPr>
        <w:t>personnel for science and higher education.</w:t>
      </w:r>
      <w:r w:rsidR="00E802CA" w:rsidRPr="00E802C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When organizing and designing </w:t>
      </w:r>
      <w:r w:rsidR="00E802CA" w:rsidRPr="006B33A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doctoral programs</w:t>
      </w:r>
      <w:r w:rsidR="00E802CA" w:rsidRPr="00E802C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universities, as a rule, do not take into consideration the professional plans and needs of postgraduate students aimed at careers in </w:t>
      </w:r>
      <w:r w:rsidR="00E802CA">
        <w:rPr>
          <w:rFonts w:ascii="Times New Roman" w:hAnsi="Times New Roman" w:cs="Times New Roman"/>
          <w:bCs/>
          <w:i/>
          <w:sz w:val="28"/>
          <w:szCs w:val="28"/>
          <w:lang w:val="en-US"/>
        </w:rPr>
        <w:t>science</w:t>
      </w:r>
      <w:r w:rsidR="00E802CA" w:rsidRPr="00E802CA">
        <w:rPr>
          <w:rFonts w:ascii="Times New Roman" w:hAnsi="Times New Roman" w:cs="Times New Roman"/>
          <w:bCs/>
          <w:i/>
          <w:sz w:val="28"/>
          <w:szCs w:val="28"/>
          <w:lang w:val="en-US"/>
        </w:rPr>
        <w:t>-intensive sectors of the economy.</w:t>
      </w:r>
      <w:r w:rsid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E81A51" w:rsidRP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This paper presents the first results of a study of dissertations and career </w:t>
      </w:r>
      <w:r w:rsidR="00DB06B1">
        <w:rPr>
          <w:rFonts w:ascii="Times New Roman" w:hAnsi="Times New Roman" w:cs="Times New Roman"/>
          <w:bCs/>
          <w:i/>
          <w:sz w:val="28"/>
          <w:szCs w:val="28"/>
          <w:lang w:val="en-US"/>
        </w:rPr>
        <w:t>paths</w:t>
      </w:r>
      <w:r w:rsidR="00E81A51" w:rsidRP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of </w:t>
      </w:r>
      <w:r w:rsid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>doctoral</w:t>
      </w:r>
      <w:r w:rsidR="00E81A51" w:rsidRP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graduates in the field of </w:t>
      </w:r>
      <w:r w:rsidR="00D00BDB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r w:rsidR="00D00BDB" w:rsidRPr="00D00BDB">
        <w:rPr>
          <w:rFonts w:ascii="Times New Roman" w:hAnsi="Times New Roman" w:cs="Times New Roman"/>
          <w:bCs/>
          <w:i/>
          <w:sz w:val="28"/>
          <w:szCs w:val="28"/>
          <w:lang w:val="en-US"/>
        </w:rPr>
        <w:t>echnical science</w:t>
      </w:r>
      <w:r w:rsidR="00E81A51" w:rsidRP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>, aimed at identifying</w:t>
      </w:r>
      <w:r w:rsidR="00116DC6" w:rsidRPr="00116DC6">
        <w:rPr>
          <w:rFonts w:ascii="Times New Roman" w:hAnsi="Times New Roman" w:cs="Times New Roman"/>
          <w:bCs/>
          <w:i/>
          <w:sz w:val="28"/>
          <w:szCs w:val="28"/>
          <w:lang w:val="en-US"/>
        </w:rPr>
        <w:t>:</w:t>
      </w:r>
      <w:r w:rsidR="00E81A51" w:rsidRP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116DC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1) </w:t>
      </w:r>
      <w:r w:rsidR="00E81A51" w:rsidRPr="00E81A5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the </w:t>
      </w:r>
      <w:r w:rsidR="00116DC6" w:rsidRPr="00116DC6">
        <w:rPr>
          <w:rFonts w:ascii="Times New Roman" w:hAnsi="Times New Roman" w:cs="Times New Roman"/>
          <w:bCs/>
          <w:i/>
          <w:sz w:val="28"/>
          <w:szCs w:val="28"/>
          <w:lang w:val="en-US"/>
        </w:rPr>
        <w:t>proportion of graduates - candidates of technical sciences, employed outside the academic sector</w:t>
      </w:r>
      <w:r w:rsidR="00D00BDB">
        <w:rPr>
          <w:rFonts w:ascii="Times New Roman" w:hAnsi="Times New Roman" w:cs="Times New Roman"/>
          <w:bCs/>
          <w:i/>
          <w:sz w:val="28"/>
          <w:szCs w:val="28"/>
          <w:lang w:val="en-US"/>
        </w:rPr>
        <w:t>;</w:t>
      </w:r>
      <w:r w:rsidR="00116DC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2) </w:t>
      </w:r>
      <w:r w:rsidR="00252527" w:rsidRPr="00252527">
        <w:rPr>
          <w:rFonts w:ascii="Times New Roman" w:hAnsi="Times New Roman" w:cs="Times New Roman"/>
          <w:bCs/>
          <w:i/>
          <w:sz w:val="28"/>
          <w:szCs w:val="28"/>
          <w:lang w:val="en-US"/>
        </w:rPr>
        <w:t>the extent of prevalence of dissertations, the topics of which are related to the professional activities of their authors</w:t>
      </w:r>
      <w:r w:rsidR="00252527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; 3) </w:t>
      </w:r>
      <w:r w:rsidR="00252527" w:rsidRPr="00252527">
        <w:rPr>
          <w:rFonts w:ascii="Times New Roman" w:hAnsi="Times New Roman" w:cs="Times New Roman"/>
          <w:bCs/>
          <w:i/>
          <w:sz w:val="28"/>
          <w:szCs w:val="28"/>
          <w:lang w:val="en-US"/>
        </w:rPr>
        <w:t>real practices for the preparation of dissertations in the interaction of universities and employers</w:t>
      </w:r>
      <w:r w:rsidR="00252527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</w:t>
      </w:r>
      <w:r w:rsidR="00415D2D" w:rsidRP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The obtained data update the discussion about the demand and the need </w:t>
      </w:r>
      <w:r w:rsid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>of</w:t>
      </w:r>
      <w:r w:rsidR="00415D2D" w:rsidRP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institutionalization of targeted practice-oriented </w:t>
      </w:r>
      <w:r w:rsid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>doctoral</w:t>
      </w:r>
      <w:r w:rsidR="00415D2D" w:rsidRP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programs</w:t>
      </w:r>
      <w:r w:rsidR="00B7579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B75794" w:rsidRP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>in Russia</w:t>
      </w:r>
      <w:r w:rsidR="00415D2D" w:rsidRP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415D2D">
        <w:rPr>
          <w:rFonts w:ascii="Times New Roman" w:hAnsi="Times New Roman" w:cs="Times New Roman"/>
          <w:bCs/>
          <w:i/>
          <w:sz w:val="28"/>
          <w:szCs w:val="28"/>
          <w:lang w:val="en-US"/>
        </w:rPr>
        <w:t>based on</w:t>
      </w:r>
      <w:r w:rsidR="003959B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3959B5" w:rsidRPr="0008305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collaboration universities</w:t>
      </w:r>
      <w:r w:rsidR="00E72D82" w:rsidRPr="00E72D8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E72D8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and</w:t>
      </w:r>
      <w:r w:rsidR="003959B5" w:rsidRPr="0008305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3959B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industry</w:t>
      </w:r>
      <w:r w:rsidR="003959B5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14:paraId="59AE82D2" w14:textId="636A321C" w:rsidR="006B33A4" w:rsidRPr="00083051" w:rsidRDefault="006B33A4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B33A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6B33A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doctoral education, practice-</w:t>
      </w:r>
      <w:r w:rsidR="00255EE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oriented</w:t>
      </w:r>
      <w:r w:rsidRPr="006B33A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doctoral programs,</w:t>
      </w:r>
      <w:r w:rsidRPr="0008305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083051" w:rsidRPr="0008305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collaboration universities and labor markets, science intensive</w:t>
      </w:r>
      <w:r w:rsidR="001272D4" w:rsidRPr="001272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1272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sectors</w:t>
      </w:r>
      <w:r w:rsidR="00083051" w:rsidRPr="0008305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of the economy.</w:t>
      </w:r>
    </w:p>
    <w:p w14:paraId="560A0555" w14:textId="77777777" w:rsidR="00672025" w:rsidRPr="006B33A4" w:rsidRDefault="00672025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45E74B" w14:textId="7185EDF3" w:rsidR="00E8535A" w:rsidRPr="005622DE" w:rsidRDefault="00E8535A" w:rsidP="00955E3E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2D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420725F" w14:textId="198E0294" w:rsidR="009F2465" w:rsidRDefault="00D51C9F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этап развития российской </w:t>
      </w:r>
      <w:r w:rsidR="00330981">
        <w:rPr>
          <w:rFonts w:ascii="Times New Roman" w:hAnsi="Times New Roman" w:cs="Times New Roman"/>
          <w:sz w:val="28"/>
          <w:szCs w:val="28"/>
        </w:rPr>
        <w:t>аспирантуры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5B">
        <w:rPr>
          <w:rFonts w:ascii="Times New Roman" w:hAnsi="Times New Roman" w:cs="Times New Roman"/>
          <w:sz w:val="28"/>
          <w:szCs w:val="28"/>
        </w:rPr>
        <w:t>отличается фокусировкой на</w:t>
      </w:r>
      <w:r w:rsidR="000C4126">
        <w:rPr>
          <w:rFonts w:ascii="Times New Roman" w:hAnsi="Times New Roman" w:cs="Times New Roman"/>
          <w:sz w:val="28"/>
          <w:szCs w:val="28"/>
        </w:rPr>
        <w:t xml:space="preserve"> подготовку кадров для науки и высшей школы</w:t>
      </w:r>
      <w:r w:rsidR="00DD6844">
        <w:rPr>
          <w:rFonts w:ascii="Times New Roman" w:hAnsi="Times New Roman" w:cs="Times New Roman"/>
          <w:sz w:val="28"/>
          <w:szCs w:val="28"/>
        </w:rPr>
        <w:t xml:space="preserve"> </w:t>
      </w:r>
      <w:r w:rsidR="00DD6844" w:rsidRPr="00DD6844">
        <w:rPr>
          <w:rFonts w:ascii="Times New Roman" w:hAnsi="Times New Roman" w:cs="Times New Roman"/>
          <w:sz w:val="28"/>
          <w:szCs w:val="28"/>
        </w:rPr>
        <w:t>[</w:t>
      </w:r>
      <w:r w:rsidR="005F1A3F">
        <w:rPr>
          <w:rFonts w:ascii="Times New Roman" w:hAnsi="Times New Roman" w:cs="Times New Roman"/>
          <w:sz w:val="28"/>
          <w:szCs w:val="28"/>
        </w:rPr>
        <w:t>2</w:t>
      </w:r>
      <w:r w:rsidR="00DD6844" w:rsidRPr="00DD6844">
        <w:rPr>
          <w:rFonts w:ascii="Times New Roman" w:hAnsi="Times New Roman" w:cs="Times New Roman"/>
          <w:sz w:val="28"/>
          <w:szCs w:val="28"/>
        </w:rPr>
        <w:t>]</w:t>
      </w:r>
      <w:r w:rsidR="000C4126">
        <w:rPr>
          <w:rFonts w:ascii="Times New Roman" w:hAnsi="Times New Roman" w:cs="Times New Roman"/>
          <w:sz w:val="28"/>
          <w:szCs w:val="28"/>
        </w:rPr>
        <w:t xml:space="preserve">. </w:t>
      </w:r>
      <w:r w:rsidR="00AF1D5F">
        <w:rPr>
          <w:rFonts w:ascii="Times New Roman" w:hAnsi="Times New Roman" w:cs="Times New Roman"/>
          <w:sz w:val="28"/>
          <w:szCs w:val="28"/>
        </w:rPr>
        <w:t>В</w:t>
      </w:r>
      <w:r w:rsidR="00330981">
        <w:rPr>
          <w:rFonts w:ascii="Times New Roman" w:hAnsi="Times New Roman" w:cs="Times New Roman"/>
          <w:sz w:val="28"/>
          <w:szCs w:val="28"/>
        </w:rPr>
        <w:t>месте с тем</w:t>
      </w:r>
      <w:r w:rsidR="00AF1D5F">
        <w:rPr>
          <w:rFonts w:ascii="Times New Roman" w:hAnsi="Times New Roman" w:cs="Times New Roman"/>
          <w:sz w:val="28"/>
          <w:szCs w:val="28"/>
        </w:rPr>
        <w:t xml:space="preserve"> </w:t>
      </w:r>
      <w:r w:rsidR="00330981">
        <w:rPr>
          <w:rFonts w:ascii="Times New Roman" w:hAnsi="Times New Roman" w:cs="Times New Roman"/>
          <w:sz w:val="28"/>
          <w:szCs w:val="28"/>
        </w:rPr>
        <w:t xml:space="preserve">глобальным мировым трендом </w:t>
      </w:r>
      <w:r w:rsidR="00AF1D5F">
        <w:rPr>
          <w:rFonts w:ascii="Times New Roman" w:hAnsi="Times New Roman" w:cs="Times New Roman"/>
          <w:sz w:val="28"/>
          <w:szCs w:val="28"/>
        </w:rPr>
        <w:t xml:space="preserve">является диверсификация аспирантских программ: </w:t>
      </w:r>
      <w:r w:rsidR="00330981">
        <w:rPr>
          <w:rFonts w:ascii="Times New Roman" w:hAnsi="Times New Roman" w:cs="Times New Roman"/>
          <w:sz w:val="28"/>
          <w:szCs w:val="28"/>
        </w:rPr>
        <w:t>наряду</w:t>
      </w:r>
      <w:r w:rsidR="00AF1D5F">
        <w:rPr>
          <w:rFonts w:ascii="Times New Roman" w:hAnsi="Times New Roman" w:cs="Times New Roman"/>
          <w:sz w:val="28"/>
          <w:szCs w:val="28"/>
        </w:rPr>
        <w:t xml:space="preserve"> с традиционными </w:t>
      </w:r>
      <w:r w:rsidR="00330981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330981" w:rsidRPr="00330981">
        <w:rPr>
          <w:rFonts w:ascii="Times New Roman" w:hAnsi="Times New Roman" w:cs="Times New Roman"/>
          <w:sz w:val="28"/>
          <w:szCs w:val="28"/>
        </w:rPr>
        <w:t>-</w:t>
      </w:r>
      <w:r w:rsidR="00AF1D5F">
        <w:rPr>
          <w:rFonts w:ascii="Times New Roman" w:hAnsi="Times New Roman" w:cs="Times New Roman"/>
          <w:sz w:val="28"/>
          <w:szCs w:val="28"/>
        </w:rPr>
        <w:t xml:space="preserve">программами, ориентированными на подготовку </w:t>
      </w:r>
      <w:r w:rsidR="00EB2121">
        <w:rPr>
          <w:rFonts w:ascii="Times New Roman" w:hAnsi="Times New Roman" w:cs="Times New Roman"/>
          <w:sz w:val="28"/>
          <w:szCs w:val="28"/>
        </w:rPr>
        <w:t>научных и научно-педагогических работников</w:t>
      </w:r>
      <w:r w:rsidR="00AF1D5F">
        <w:rPr>
          <w:rFonts w:ascii="Times New Roman" w:hAnsi="Times New Roman" w:cs="Times New Roman"/>
          <w:sz w:val="28"/>
          <w:szCs w:val="28"/>
        </w:rPr>
        <w:t xml:space="preserve">, </w:t>
      </w:r>
      <w:r w:rsidR="00330981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6C406F">
        <w:rPr>
          <w:rFonts w:ascii="Times New Roman" w:hAnsi="Times New Roman" w:cs="Times New Roman"/>
          <w:sz w:val="28"/>
          <w:szCs w:val="28"/>
        </w:rPr>
        <w:t xml:space="preserve">университеты </w:t>
      </w:r>
      <w:r w:rsidR="00330981">
        <w:rPr>
          <w:rFonts w:ascii="Times New Roman" w:hAnsi="Times New Roman" w:cs="Times New Roman"/>
          <w:sz w:val="28"/>
          <w:szCs w:val="28"/>
        </w:rPr>
        <w:t>реализуют</w:t>
      </w:r>
      <w:r w:rsidR="006C406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0981">
        <w:rPr>
          <w:rFonts w:ascii="Times New Roman" w:hAnsi="Times New Roman" w:cs="Times New Roman"/>
          <w:sz w:val="28"/>
          <w:szCs w:val="28"/>
        </w:rPr>
        <w:t>ы</w:t>
      </w:r>
      <w:r w:rsidR="006C406F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520096">
        <w:rPr>
          <w:rFonts w:ascii="Times New Roman" w:hAnsi="Times New Roman" w:cs="Times New Roman"/>
          <w:sz w:val="28"/>
          <w:szCs w:val="28"/>
        </w:rPr>
        <w:t xml:space="preserve"> (практико-ориентированной)</w:t>
      </w:r>
      <w:r w:rsidR="006C406F">
        <w:rPr>
          <w:rFonts w:ascii="Times New Roman" w:hAnsi="Times New Roman" w:cs="Times New Roman"/>
          <w:sz w:val="28"/>
          <w:szCs w:val="28"/>
        </w:rPr>
        <w:t xml:space="preserve"> аспирантуры.</w:t>
      </w:r>
      <w:r w:rsidR="00243548">
        <w:rPr>
          <w:rFonts w:ascii="Times New Roman" w:hAnsi="Times New Roman" w:cs="Times New Roman"/>
          <w:sz w:val="28"/>
          <w:szCs w:val="28"/>
        </w:rPr>
        <w:t xml:space="preserve"> </w:t>
      </w:r>
      <w:r w:rsidR="00C67A5E">
        <w:rPr>
          <w:rFonts w:ascii="Times New Roman" w:hAnsi="Times New Roman" w:cs="Times New Roman"/>
          <w:sz w:val="28"/>
          <w:szCs w:val="28"/>
        </w:rPr>
        <w:t xml:space="preserve">В </w:t>
      </w:r>
      <w:r w:rsidR="0023690F">
        <w:rPr>
          <w:rFonts w:ascii="Times New Roman" w:hAnsi="Times New Roman" w:cs="Times New Roman"/>
          <w:sz w:val="28"/>
          <w:szCs w:val="28"/>
        </w:rPr>
        <w:t>работах</w:t>
      </w:r>
      <w:r w:rsidR="00C67A5E">
        <w:rPr>
          <w:rFonts w:ascii="Times New Roman" w:hAnsi="Times New Roman" w:cs="Times New Roman"/>
          <w:sz w:val="28"/>
          <w:szCs w:val="28"/>
        </w:rPr>
        <w:t xml:space="preserve"> </w:t>
      </w:r>
      <w:r w:rsidR="00C67A5E" w:rsidRPr="00C67A5E">
        <w:rPr>
          <w:rFonts w:ascii="Times New Roman" w:hAnsi="Times New Roman" w:cs="Times New Roman"/>
          <w:sz w:val="28"/>
          <w:szCs w:val="28"/>
        </w:rPr>
        <w:t>[</w:t>
      </w:r>
      <w:r w:rsidR="005F1A3F">
        <w:rPr>
          <w:rFonts w:ascii="Times New Roman" w:hAnsi="Times New Roman" w:cs="Times New Roman"/>
          <w:sz w:val="28"/>
          <w:szCs w:val="28"/>
        </w:rPr>
        <w:t>2</w:t>
      </w:r>
      <w:r w:rsidR="005B6751">
        <w:rPr>
          <w:rFonts w:ascii="Times New Roman" w:hAnsi="Times New Roman" w:cs="Times New Roman"/>
          <w:sz w:val="28"/>
          <w:szCs w:val="28"/>
        </w:rPr>
        <w:t xml:space="preserve">; </w:t>
      </w:r>
      <w:r w:rsidR="005F1A3F">
        <w:rPr>
          <w:rFonts w:ascii="Times New Roman" w:hAnsi="Times New Roman" w:cs="Times New Roman"/>
          <w:sz w:val="28"/>
          <w:szCs w:val="28"/>
        </w:rPr>
        <w:t>3</w:t>
      </w:r>
      <w:r w:rsidR="00C67A5E" w:rsidRPr="00C67A5E">
        <w:rPr>
          <w:rFonts w:ascii="Times New Roman" w:hAnsi="Times New Roman" w:cs="Times New Roman"/>
          <w:sz w:val="28"/>
          <w:szCs w:val="28"/>
        </w:rPr>
        <w:t>]</w:t>
      </w:r>
      <w:r w:rsidR="00C67A5E">
        <w:rPr>
          <w:rFonts w:ascii="Times New Roman" w:hAnsi="Times New Roman" w:cs="Times New Roman"/>
          <w:sz w:val="28"/>
          <w:szCs w:val="28"/>
        </w:rPr>
        <w:t xml:space="preserve"> </w:t>
      </w:r>
      <w:r w:rsidR="0023690F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7D24B9">
        <w:rPr>
          <w:rFonts w:ascii="Times New Roman" w:hAnsi="Times New Roman" w:cs="Times New Roman"/>
          <w:sz w:val="28"/>
          <w:szCs w:val="28"/>
        </w:rPr>
        <w:t xml:space="preserve"> </w:t>
      </w:r>
      <w:r w:rsidR="00F31036">
        <w:rPr>
          <w:rFonts w:ascii="Times New Roman" w:hAnsi="Times New Roman" w:cs="Times New Roman"/>
          <w:sz w:val="28"/>
          <w:szCs w:val="28"/>
        </w:rPr>
        <w:t xml:space="preserve">причины возникновения </w:t>
      </w:r>
      <w:r w:rsidR="0023690F">
        <w:rPr>
          <w:rFonts w:ascii="Times New Roman" w:hAnsi="Times New Roman" w:cs="Times New Roman"/>
          <w:sz w:val="28"/>
          <w:szCs w:val="28"/>
        </w:rPr>
        <w:t>практико-ориентированных аспирантских</w:t>
      </w:r>
      <w:r w:rsidR="00F31036">
        <w:rPr>
          <w:rFonts w:ascii="Times New Roman" w:hAnsi="Times New Roman" w:cs="Times New Roman"/>
          <w:sz w:val="28"/>
          <w:szCs w:val="28"/>
        </w:rPr>
        <w:t xml:space="preserve"> программ, их</w:t>
      </w:r>
      <w:r w:rsidR="007A7B21">
        <w:rPr>
          <w:rFonts w:ascii="Times New Roman" w:hAnsi="Times New Roman" w:cs="Times New Roman"/>
          <w:sz w:val="28"/>
          <w:szCs w:val="28"/>
        </w:rPr>
        <w:t xml:space="preserve"> особенности и </w:t>
      </w:r>
      <w:r w:rsidR="00C67A5E">
        <w:rPr>
          <w:rFonts w:ascii="Times New Roman" w:hAnsi="Times New Roman" w:cs="Times New Roman"/>
          <w:sz w:val="28"/>
          <w:szCs w:val="28"/>
        </w:rPr>
        <w:t xml:space="preserve">принципиальные отличия от </w:t>
      </w:r>
      <w:r w:rsidR="0047148F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6D74B7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7A7B21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7A7B21" w:rsidRPr="007A7B21">
        <w:rPr>
          <w:rFonts w:ascii="Times New Roman" w:hAnsi="Times New Roman" w:cs="Times New Roman"/>
          <w:sz w:val="28"/>
          <w:szCs w:val="28"/>
        </w:rPr>
        <w:t>-</w:t>
      </w:r>
      <w:r w:rsidR="007A7B21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F31036">
        <w:rPr>
          <w:rFonts w:ascii="Times New Roman" w:hAnsi="Times New Roman" w:cs="Times New Roman"/>
          <w:sz w:val="28"/>
          <w:szCs w:val="28"/>
        </w:rPr>
        <w:t xml:space="preserve">. </w:t>
      </w:r>
      <w:r w:rsidR="0023690F">
        <w:rPr>
          <w:rFonts w:ascii="Times New Roman" w:hAnsi="Times New Roman" w:cs="Times New Roman"/>
          <w:sz w:val="28"/>
          <w:szCs w:val="28"/>
        </w:rPr>
        <w:t xml:space="preserve">Отметим </w:t>
      </w:r>
      <w:r w:rsidR="005269F1">
        <w:rPr>
          <w:rFonts w:ascii="Times New Roman" w:hAnsi="Times New Roman" w:cs="Times New Roman"/>
          <w:sz w:val="28"/>
          <w:szCs w:val="28"/>
        </w:rPr>
        <w:t>три</w:t>
      </w:r>
      <w:r w:rsidR="009F2465">
        <w:rPr>
          <w:rFonts w:ascii="Times New Roman" w:hAnsi="Times New Roman" w:cs="Times New Roman"/>
          <w:sz w:val="28"/>
          <w:szCs w:val="28"/>
        </w:rPr>
        <w:t xml:space="preserve"> </w:t>
      </w:r>
      <w:r w:rsidR="00651144">
        <w:rPr>
          <w:rFonts w:ascii="Times New Roman" w:hAnsi="Times New Roman" w:cs="Times New Roman"/>
          <w:sz w:val="28"/>
          <w:szCs w:val="28"/>
        </w:rPr>
        <w:t>обстоятельства</w:t>
      </w:r>
      <w:r w:rsidR="00F31036">
        <w:rPr>
          <w:rFonts w:ascii="Times New Roman" w:hAnsi="Times New Roman" w:cs="Times New Roman"/>
          <w:sz w:val="28"/>
          <w:szCs w:val="28"/>
        </w:rPr>
        <w:t>, представляю</w:t>
      </w:r>
      <w:r w:rsidR="0023690F">
        <w:rPr>
          <w:rFonts w:ascii="Times New Roman" w:hAnsi="Times New Roman" w:cs="Times New Roman"/>
          <w:sz w:val="28"/>
          <w:szCs w:val="28"/>
        </w:rPr>
        <w:t>щи</w:t>
      </w:r>
      <w:r w:rsidR="009F2465">
        <w:rPr>
          <w:rFonts w:ascii="Times New Roman" w:hAnsi="Times New Roman" w:cs="Times New Roman"/>
          <w:sz w:val="28"/>
          <w:szCs w:val="28"/>
        </w:rPr>
        <w:t>е</w:t>
      </w:r>
      <w:r w:rsidR="00F31036">
        <w:rPr>
          <w:rFonts w:ascii="Times New Roman" w:hAnsi="Times New Roman" w:cs="Times New Roman"/>
          <w:sz w:val="28"/>
          <w:szCs w:val="28"/>
        </w:rPr>
        <w:t xml:space="preserve"> </w:t>
      </w:r>
      <w:r w:rsidR="0023690F">
        <w:rPr>
          <w:rFonts w:ascii="Times New Roman" w:hAnsi="Times New Roman" w:cs="Times New Roman"/>
          <w:sz w:val="28"/>
          <w:szCs w:val="28"/>
        </w:rPr>
        <w:t>особый</w:t>
      </w:r>
      <w:r w:rsidR="00F31036">
        <w:rPr>
          <w:rFonts w:ascii="Times New Roman" w:hAnsi="Times New Roman" w:cs="Times New Roman"/>
          <w:sz w:val="28"/>
          <w:szCs w:val="28"/>
        </w:rPr>
        <w:t xml:space="preserve"> интерес в контексте </w:t>
      </w:r>
      <w:r w:rsidR="0023690F">
        <w:rPr>
          <w:rFonts w:ascii="Times New Roman" w:hAnsi="Times New Roman" w:cs="Times New Roman"/>
          <w:sz w:val="28"/>
          <w:szCs w:val="28"/>
        </w:rPr>
        <w:t>на</w:t>
      </w:r>
      <w:r w:rsidR="00651144">
        <w:rPr>
          <w:rFonts w:ascii="Times New Roman" w:hAnsi="Times New Roman" w:cs="Times New Roman"/>
          <w:sz w:val="28"/>
          <w:szCs w:val="28"/>
        </w:rPr>
        <w:t>шей</w:t>
      </w:r>
      <w:r w:rsidR="00F31036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9F2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5EFF0" w14:textId="0570DD66" w:rsidR="00C67A5E" w:rsidRDefault="006524D8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24B9">
        <w:rPr>
          <w:rFonts w:ascii="Times New Roman" w:hAnsi="Times New Roman" w:cs="Times New Roman"/>
          <w:sz w:val="28"/>
          <w:szCs w:val="28"/>
        </w:rPr>
        <w:t xml:space="preserve"> </w:t>
      </w:r>
      <w:r w:rsidR="006D74B7">
        <w:rPr>
          <w:rFonts w:ascii="Times New Roman" w:hAnsi="Times New Roman" w:cs="Times New Roman"/>
          <w:sz w:val="28"/>
          <w:szCs w:val="28"/>
        </w:rPr>
        <w:t>Академические</w:t>
      </w:r>
      <w:r w:rsidR="006D74B7" w:rsidRPr="006D74B7">
        <w:rPr>
          <w:rFonts w:ascii="Times New Roman" w:hAnsi="Times New Roman" w:cs="Times New Roman"/>
          <w:sz w:val="28"/>
          <w:szCs w:val="28"/>
        </w:rPr>
        <w:t xml:space="preserve"> программы выбирают аспиранты, желающие </w:t>
      </w:r>
      <w:r w:rsidR="006D74B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D74B7" w:rsidRPr="006D74B7">
        <w:rPr>
          <w:rFonts w:ascii="Times New Roman" w:hAnsi="Times New Roman" w:cs="Times New Roman"/>
          <w:sz w:val="28"/>
          <w:szCs w:val="28"/>
        </w:rPr>
        <w:t xml:space="preserve">карьеру в университетской среде, в то время как профессиональные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адресованы тем, кто </w:t>
      </w:r>
      <w:r w:rsidR="00243548">
        <w:rPr>
          <w:rFonts w:ascii="Times New Roman" w:hAnsi="Times New Roman" w:cs="Times New Roman"/>
          <w:sz w:val="28"/>
          <w:szCs w:val="28"/>
        </w:rPr>
        <w:t xml:space="preserve">нацелен на </w:t>
      </w:r>
      <w:r w:rsidR="006D74B7">
        <w:rPr>
          <w:rFonts w:ascii="Times New Roman" w:hAnsi="Times New Roman" w:cs="Times New Roman"/>
          <w:sz w:val="28"/>
          <w:szCs w:val="28"/>
        </w:rPr>
        <w:t>работу</w:t>
      </w:r>
      <w:r w:rsidR="00243548">
        <w:rPr>
          <w:rFonts w:ascii="Times New Roman" w:hAnsi="Times New Roman" w:cs="Times New Roman"/>
          <w:sz w:val="28"/>
          <w:szCs w:val="28"/>
        </w:rPr>
        <w:t xml:space="preserve"> за пределами академического сектора</w:t>
      </w:r>
      <w:r w:rsidR="00AE590A" w:rsidRPr="00AE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(обучение рассматривается как средство для профессионального и карьерного роста </w:t>
      </w:r>
      <w:r w:rsidR="00AE590A" w:rsidRPr="00AE590A">
        <w:rPr>
          <w:rFonts w:ascii="Times New Roman" w:hAnsi="Times New Roman" w:cs="Times New Roman"/>
          <w:sz w:val="28"/>
          <w:szCs w:val="28"/>
        </w:rPr>
        <w:t>[</w:t>
      </w:r>
      <w:r w:rsidR="005F1A3F">
        <w:rPr>
          <w:rFonts w:ascii="Times New Roman" w:hAnsi="Times New Roman" w:cs="Times New Roman"/>
          <w:sz w:val="28"/>
          <w:szCs w:val="28"/>
        </w:rPr>
        <w:t>6</w:t>
      </w:r>
      <w:r w:rsidRPr="00251612">
        <w:rPr>
          <w:rFonts w:ascii="Times New Roman" w:hAnsi="Times New Roman" w:cs="Times New Roman"/>
          <w:sz w:val="28"/>
          <w:szCs w:val="28"/>
        </w:rPr>
        <w:t>;</w:t>
      </w:r>
      <w:r w:rsidR="005F1A3F">
        <w:rPr>
          <w:rFonts w:ascii="Times New Roman" w:hAnsi="Times New Roman" w:cs="Times New Roman"/>
          <w:sz w:val="28"/>
          <w:szCs w:val="28"/>
        </w:rPr>
        <w:t>7</w:t>
      </w:r>
      <w:r w:rsidR="00244579" w:rsidRPr="00244579">
        <w:rPr>
          <w:rFonts w:ascii="Times New Roman" w:hAnsi="Times New Roman" w:cs="Times New Roman"/>
          <w:sz w:val="28"/>
          <w:szCs w:val="28"/>
        </w:rPr>
        <w:t>]</w:t>
      </w:r>
      <w:r w:rsidR="00251612">
        <w:rPr>
          <w:rFonts w:ascii="Times New Roman" w:hAnsi="Times New Roman" w:cs="Times New Roman"/>
          <w:sz w:val="28"/>
          <w:szCs w:val="28"/>
        </w:rPr>
        <w:t>)</w:t>
      </w:r>
      <w:r w:rsidR="00244579">
        <w:rPr>
          <w:rFonts w:ascii="Times New Roman" w:hAnsi="Times New Roman" w:cs="Times New Roman"/>
          <w:sz w:val="28"/>
          <w:szCs w:val="28"/>
        </w:rPr>
        <w:t>.</w:t>
      </w:r>
    </w:p>
    <w:p w14:paraId="6F40E551" w14:textId="199C6B82" w:rsidR="00BD31DB" w:rsidRDefault="00251612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3D3">
        <w:rPr>
          <w:rFonts w:ascii="Times New Roman" w:hAnsi="Times New Roman" w:cs="Times New Roman"/>
          <w:sz w:val="28"/>
          <w:szCs w:val="28"/>
        </w:rPr>
        <w:t>Аспиранты профессиональных программ вовлечены в исследовательские проекты</w:t>
      </w:r>
      <w:r w:rsidR="00C57D5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30611">
        <w:rPr>
          <w:rFonts w:ascii="Times New Roman" w:hAnsi="Times New Roman" w:cs="Times New Roman"/>
          <w:sz w:val="28"/>
          <w:szCs w:val="28"/>
        </w:rPr>
        <w:t>ей</w:t>
      </w:r>
      <w:r w:rsidR="00FF43D3">
        <w:rPr>
          <w:rFonts w:ascii="Times New Roman" w:hAnsi="Times New Roman" w:cs="Times New Roman"/>
          <w:sz w:val="28"/>
          <w:szCs w:val="28"/>
        </w:rPr>
        <w:t xml:space="preserve">, </w:t>
      </w:r>
      <w:r w:rsidR="00130611">
        <w:rPr>
          <w:rFonts w:ascii="Times New Roman" w:hAnsi="Times New Roman" w:cs="Times New Roman"/>
          <w:sz w:val="28"/>
          <w:szCs w:val="28"/>
        </w:rPr>
        <w:t xml:space="preserve">поэтому их диссертационные работы </w:t>
      </w:r>
      <w:r w:rsidR="006D74B7">
        <w:rPr>
          <w:rFonts w:ascii="Times New Roman" w:hAnsi="Times New Roman" w:cs="Times New Roman"/>
          <w:sz w:val="28"/>
          <w:szCs w:val="28"/>
        </w:rPr>
        <w:t>связаны с</w:t>
      </w:r>
      <w:r>
        <w:rPr>
          <w:rFonts w:ascii="Times New Roman" w:hAnsi="Times New Roman" w:cs="Times New Roman"/>
          <w:sz w:val="28"/>
          <w:szCs w:val="28"/>
        </w:rPr>
        <w:t xml:space="preserve"> реальны</w:t>
      </w:r>
      <w:r w:rsidR="006D74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611">
        <w:rPr>
          <w:rFonts w:ascii="Times New Roman" w:hAnsi="Times New Roman" w:cs="Times New Roman"/>
          <w:sz w:val="28"/>
          <w:szCs w:val="28"/>
        </w:rPr>
        <w:t>отраслевы</w:t>
      </w:r>
      <w:r w:rsidR="006D74B7">
        <w:rPr>
          <w:rFonts w:ascii="Times New Roman" w:hAnsi="Times New Roman" w:cs="Times New Roman"/>
          <w:sz w:val="28"/>
          <w:szCs w:val="28"/>
        </w:rPr>
        <w:t>ми</w:t>
      </w:r>
      <w:r w:rsidR="0013061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6D74B7">
        <w:rPr>
          <w:rFonts w:ascii="Times New Roman" w:hAnsi="Times New Roman" w:cs="Times New Roman"/>
          <w:sz w:val="28"/>
          <w:szCs w:val="28"/>
        </w:rPr>
        <w:t>ами</w:t>
      </w:r>
      <w:r w:rsidR="00AE590A">
        <w:rPr>
          <w:rFonts w:ascii="Times New Roman" w:hAnsi="Times New Roman" w:cs="Times New Roman"/>
          <w:sz w:val="28"/>
          <w:szCs w:val="28"/>
        </w:rPr>
        <w:t xml:space="preserve"> </w:t>
      </w:r>
      <w:r w:rsidR="00AE590A" w:rsidRPr="00AE590A">
        <w:rPr>
          <w:rFonts w:ascii="Times New Roman" w:hAnsi="Times New Roman" w:cs="Times New Roman"/>
          <w:sz w:val="28"/>
          <w:szCs w:val="28"/>
        </w:rPr>
        <w:t>[</w:t>
      </w:r>
      <w:r w:rsidR="005F1A3F">
        <w:rPr>
          <w:rFonts w:ascii="Times New Roman" w:hAnsi="Times New Roman" w:cs="Times New Roman"/>
          <w:sz w:val="28"/>
          <w:szCs w:val="28"/>
        </w:rPr>
        <w:t>8</w:t>
      </w:r>
      <w:r w:rsidR="00AE590A" w:rsidRPr="00AE590A">
        <w:rPr>
          <w:rFonts w:ascii="Times New Roman" w:hAnsi="Times New Roman" w:cs="Times New Roman"/>
          <w:sz w:val="28"/>
          <w:szCs w:val="28"/>
        </w:rPr>
        <w:t>]</w:t>
      </w:r>
      <w:r w:rsidR="00DC10F0">
        <w:rPr>
          <w:rFonts w:ascii="Times New Roman" w:hAnsi="Times New Roman" w:cs="Times New Roman"/>
          <w:sz w:val="28"/>
          <w:szCs w:val="28"/>
        </w:rPr>
        <w:t>.</w:t>
      </w:r>
    </w:p>
    <w:p w14:paraId="0955AB50" w14:textId="6E6CC839" w:rsidR="00BD31DB" w:rsidRDefault="00BD31DB" w:rsidP="00955E3E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2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31DB">
        <w:rPr>
          <w:rFonts w:ascii="Times New Roman" w:hAnsi="Times New Roman" w:cs="Times New Roman"/>
          <w:sz w:val="28"/>
          <w:szCs w:val="28"/>
        </w:rPr>
        <w:t xml:space="preserve">Профессиональные программы характеризуются тесным взаимовыгодным сотрудничеством университета и организации, в которой работает аспирант: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BD31DB">
        <w:rPr>
          <w:rFonts w:ascii="Times New Roman" w:hAnsi="Times New Roman" w:cs="Times New Roman"/>
          <w:sz w:val="28"/>
          <w:szCs w:val="28"/>
        </w:rPr>
        <w:t xml:space="preserve"> диссертационного исследования решается конкретная задача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D31DB">
        <w:rPr>
          <w:rFonts w:ascii="Times New Roman" w:hAnsi="Times New Roman" w:cs="Times New Roman"/>
          <w:sz w:val="28"/>
          <w:szCs w:val="28"/>
        </w:rPr>
        <w:t>, а университет привлекает дополнительное финансирование и расширяет контакты с профессиональным сообществом [</w:t>
      </w:r>
      <w:r w:rsidR="005F1A3F">
        <w:rPr>
          <w:rFonts w:ascii="Times New Roman" w:hAnsi="Times New Roman" w:cs="Times New Roman"/>
          <w:sz w:val="28"/>
          <w:szCs w:val="28"/>
        </w:rPr>
        <w:t>8</w:t>
      </w:r>
      <w:r w:rsidR="002E684B">
        <w:rPr>
          <w:rFonts w:ascii="Times New Roman" w:hAnsi="Times New Roman" w:cs="Times New Roman"/>
          <w:sz w:val="28"/>
          <w:szCs w:val="28"/>
        </w:rPr>
        <w:t>; </w:t>
      </w:r>
      <w:r w:rsidR="005F1A3F">
        <w:rPr>
          <w:rFonts w:ascii="Times New Roman" w:hAnsi="Times New Roman" w:cs="Times New Roman"/>
          <w:sz w:val="28"/>
          <w:szCs w:val="28"/>
        </w:rPr>
        <w:t>9</w:t>
      </w:r>
      <w:r w:rsidRPr="00BD31DB">
        <w:rPr>
          <w:rFonts w:ascii="Times New Roman" w:hAnsi="Times New Roman" w:cs="Times New Roman"/>
          <w:sz w:val="28"/>
          <w:szCs w:val="28"/>
        </w:rPr>
        <w:t>].</w:t>
      </w:r>
    </w:p>
    <w:p w14:paraId="6557EC00" w14:textId="16A6A4D7" w:rsidR="00D05EAC" w:rsidRDefault="00FD6841" w:rsidP="00955E3E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работ российских авторов </w:t>
      </w:r>
      <w:r w:rsidRPr="00FD6841">
        <w:rPr>
          <w:rFonts w:ascii="Times New Roman" w:hAnsi="Times New Roman" w:cs="Times New Roman"/>
          <w:sz w:val="28"/>
          <w:szCs w:val="28"/>
        </w:rPr>
        <w:t>[</w:t>
      </w:r>
      <w:r w:rsidR="005F1A3F">
        <w:rPr>
          <w:rFonts w:ascii="Times New Roman" w:hAnsi="Times New Roman" w:cs="Times New Roman"/>
          <w:sz w:val="28"/>
          <w:szCs w:val="28"/>
        </w:rPr>
        <w:t>1; 2</w:t>
      </w:r>
      <w:r w:rsidRPr="00FD6841">
        <w:rPr>
          <w:rFonts w:ascii="Times New Roman" w:hAnsi="Times New Roman" w:cs="Times New Roman"/>
          <w:sz w:val="28"/>
          <w:szCs w:val="28"/>
        </w:rPr>
        <w:t xml:space="preserve">; </w:t>
      </w:r>
      <w:r w:rsidR="005F1A3F">
        <w:rPr>
          <w:rFonts w:ascii="Times New Roman" w:hAnsi="Times New Roman" w:cs="Times New Roman"/>
          <w:sz w:val="28"/>
          <w:szCs w:val="28"/>
        </w:rPr>
        <w:t>3</w:t>
      </w:r>
      <w:r w:rsidRPr="00FD6841">
        <w:rPr>
          <w:rFonts w:ascii="Times New Roman" w:hAnsi="Times New Roman" w:cs="Times New Roman"/>
          <w:sz w:val="28"/>
          <w:szCs w:val="28"/>
        </w:rPr>
        <w:t xml:space="preserve">; </w:t>
      </w:r>
      <w:r w:rsidR="005F1A3F">
        <w:rPr>
          <w:rFonts w:ascii="Times New Roman" w:hAnsi="Times New Roman" w:cs="Times New Roman"/>
          <w:sz w:val="28"/>
          <w:szCs w:val="28"/>
        </w:rPr>
        <w:t>4</w:t>
      </w:r>
      <w:r w:rsidR="002260E8" w:rsidRPr="002260E8">
        <w:rPr>
          <w:rFonts w:ascii="Times New Roman" w:hAnsi="Times New Roman" w:cs="Times New Roman"/>
          <w:sz w:val="28"/>
          <w:szCs w:val="28"/>
        </w:rPr>
        <w:t>;</w:t>
      </w:r>
      <w:r w:rsidR="005F1A3F">
        <w:rPr>
          <w:rFonts w:ascii="Times New Roman" w:hAnsi="Times New Roman" w:cs="Times New Roman"/>
          <w:sz w:val="28"/>
          <w:szCs w:val="28"/>
        </w:rPr>
        <w:t xml:space="preserve"> 5</w:t>
      </w:r>
      <w:r w:rsidRPr="00FD6841">
        <w:rPr>
          <w:rFonts w:ascii="Times New Roman" w:hAnsi="Times New Roman" w:cs="Times New Roman"/>
          <w:sz w:val="28"/>
          <w:szCs w:val="28"/>
        </w:rPr>
        <w:t>]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 </w:t>
      </w:r>
      <w:r w:rsidR="002260E8">
        <w:rPr>
          <w:rFonts w:ascii="Times New Roman" w:hAnsi="Times New Roman" w:cs="Times New Roman"/>
          <w:sz w:val="28"/>
          <w:szCs w:val="28"/>
        </w:rPr>
        <w:t>высказывались соображения о востребованности практико-ориентированных аспирантских программ и профессиональных ученых степеней в России.</w:t>
      </w:r>
      <w:r w:rsidR="002260E8" w:rsidRPr="002260E8">
        <w:t xml:space="preserve"> 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260E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260E8" w:rsidRPr="002260E8">
        <w:rPr>
          <w:rFonts w:ascii="Times New Roman" w:hAnsi="Times New Roman" w:cs="Times New Roman"/>
          <w:sz w:val="28"/>
          <w:szCs w:val="28"/>
        </w:rPr>
        <w:t>адекватны</w:t>
      </w:r>
      <w:r w:rsidR="002260E8">
        <w:rPr>
          <w:rFonts w:ascii="Times New Roman" w:hAnsi="Times New Roman" w:cs="Times New Roman"/>
          <w:sz w:val="28"/>
          <w:szCs w:val="28"/>
        </w:rPr>
        <w:t>х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="002260E8">
        <w:rPr>
          <w:rFonts w:ascii="Times New Roman" w:hAnsi="Times New Roman" w:cs="Times New Roman"/>
          <w:sz w:val="28"/>
          <w:szCs w:val="28"/>
        </w:rPr>
        <w:t>х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 </w:t>
      </w:r>
      <w:r w:rsidR="00D05EAC" w:rsidRPr="002260E8">
        <w:rPr>
          <w:rFonts w:ascii="Times New Roman" w:hAnsi="Times New Roman" w:cs="Times New Roman"/>
          <w:sz w:val="28"/>
          <w:szCs w:val="28"/>
        </w:rPr>
        <w:t>решени</w:t>
      </w:r>
      <w:r w:rsidR="00D05EAC">
        <w:rPr>
          <w:rFonts w:ascii="Times New Roman" w:hAnsi="Times New Roman" w:cs="Times New Roman"/>
          <w:sz w:val="28"/>
          <w:szCs w:val="28"/>
        </w:rPr>
        <w:t>й</w:t>
      </w:r>
      <w:r w:rsidR="00D05EAC" w:rsidRPr="002260E8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 </w:t>
      </w:r>
      <w:r w:rsidR="0001209A">
        <w:rPr>
          <w:rFonts w:ascii="Times New Roman" w:hAnsi="Times New Roman" w:cs="Times New Roman"/>
          <w:sz w:val="28"/>
          <w:szCs w:val="28"/>
        </w:rPr>
        <w:t>опираться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 </w:t>
      </w:r>
      <w:r w:rsidR="0001209A">
        <w:rPr>
          <w:rFonts w:ascii="Times New Roman" w:hAnsi="Times New Roman" w:cs="Times New Roman"/>
          <w:sz w:val="28"/>
          <w:szCs w:val="28"/>
        </w:rPr>
        <w:t xml:space="preserve">не только на экспертные оценки, но и </w:t>
      </w:r>
      <w:r w:rsidR="002260E8" w:rsidRPr="002260E8">
        <w:rPr>
          <w:rFonts w:ascii="Times New Roman" w:hAnsi="Times New Roman" w:cs="Times New Roman"/>
          <w:sz w:val="28"/>
          <w:szCs w:val="28"/>
        </w:rPr>
        <w:t>на эмпирически</w:t>
      </w:r>
      <w:r w:rsidR="00D05EAC">
        <w:rPr>
          <w:rFonts w:ascii="Times New Roman" w:hAnsi="Times New Roman" w:cs="Times New Roman"/>
          <w:sz w:val="28"/>
          <w:szCs w:val="28"/>
        </w:rPr>
        <w:t>е</w:t>
      </w:r>
      <w:r w:rsidR="002260E8" w:rsidRPr="002260E8">
        <w:rPr>
          <w:rFonts w:ascii="Times New Roman" w:hAnsi="Times New Roman" w:cs="Times New Roman"/>
          <w:sz w:val="28"/>
          <w:szCs w:val="28"/>
        </w:rPr>
        <w:t xml:space="preserve"> </w:t>
      </w:r>
      <w:r w:rsidR="00D05EAC">
        <w:rPr>
          <w:rFonts w:ascii="Times New Roman" w:hAnsi="Times New Roman" w:cs="Times New Roman"/>
          <w:sz w:val="28"/>
          <w:szCs w:val="28"/>
        </w:rPr>
        <w:t>данные</w:t>
      </w:r>
      <w:r w:rsidR="002260E8" w:rsidRPr="002260E8">
        <w:rPr>
          <w:rFonts w:ascii="Times New Roman" w:hAnsi="Times New Roman" w:cs="Times New Roman"/>
          <w:sz w:val="28"/>
          <w:szCs w:val="28"/>
        </w:rPr>
        <w:t>, которые бы позволили оценить текущее состояние</w:t>
      </w:r>
      <w:r w:rsidR="0001209A">
        <w:rPr>
          <w:rFonts w:ascii="Times New Roman" w:hAnsi="Times New Roman" w:cs="Times New Roman"/>
          <w:sz w:val="28"/>
          <w:szCs w:val="28"/>
        </w:rPr>
        <w:t xml:space="preserve"> </w:t>
      </w:r>
      <w:r w:rsidR="002260E8" w:rsidRPr="002260E8">
        <w:rPr>
          <w:rFonts w:ascii="Times New Roman" w:hAnsi="Times New Roman" w:cs="Times New Roman"/>
          <w:sz w:val="28"/>
          <w:szCs w:val="28"/>
        </w:rPr>
        <w:t>дел в этой области</w:t>
      </w:r>
      <w:r w:rsidR="0001209A">
        <w:rPr>
          <w:rFonts w:ascii="Times New Roman" w:hAnsi="Times New Roman" w:cs="Times New Roman"/>
          <w:sz w:val="28"/>
          <w:szCs w:val="28"/>
        </w:rPr>
        <w:t>.</w:t>
      </w:r>
      <w:r w:rsidR="00E8535A">
        <w:rPr>
          <w:rFonts w:ascii="Times New Roman" w:hAnsi="Times New Roman" w:cs="Times New Roman"/>
          <w:sz w:val="28"/>
          <w:szCs w:val="28"/>
        </w:rPr>
        <w:t xml:space="preserve"> </w:t>
      </w:r>
      <w:r w:rsidR="00D05EAC" w:rsidRPr="00D05EAC">
        <w:rPr>
          <w:rFonts w:ascii="Times New Roman" w:hAnsi="Times New Roman" w:cs="Times New Roman"/>
          <w:sz w:val="28"/>
          <w:szCs w:val="28"/>
        </w:rPr>
        <w:t>В на</w:t>
      </w:r>
      <w:r w:rsidR="005622DE">
        <w:rPr>
          <w:rFonts w:ascii="Times New Roman" w:hAnsi="Times New Roman" w:cs="Times New Roman"/>
          <w:sz w:val="28"/>
          <w:szCs w:val="28"/>
        </w:rPr>
        <w:t>шей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 </w:t>
      </w:r>
      <w:r w:rsidR="00AD3228">
        <w:rPr>
          <w:rFonts w:ascii="Times New Roman" w:hAnsi="Times New Roman" w:cs="Times New Roman"/>
          <w:sz w:val="28"/>
          <w:szCs w:val="28"/>
        </w:rPr>
        <w:t>работе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 приведены первые результаты исследования диссертационных работ и карьерных треков выпускников </w:t>
      </w:r>
      <w:r w:rsidR="00D05EAC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D05EAC" w:rsidRPr="00D05EAC">
        <w:rPr>
          <w:rFonts w:ascii="Times New Roman" w:hAnsi="Times New Roman" w:cs="Times New Roman"/>
          <w:sz w:val="28"/>
          <w:szCs w:val="28"/>
        </w:rPr>
        <w:t>аспирантур</w:t>
      </w:r>
      <w:r w:rsidR="00D05EAC">
        <w:rPr>
          <w:rFonts w:ascii="Times New Roman" w:hAnsi="Times New Roman" w:cs="Times New Roman"/>
          <w:sz w:val="28"/>
          <w:szCs w:val="28"/>
        </w:rPr>
        <w:t>, специализирующихся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 в технических наук</w:t>
      </w:r>
      <w:r w:rsidR="00E8535A">
        <w:rPr>
          <w:rFonts w:ascii="Times New Roman" w:hAnsi="Times New Roman" w:cs="Times New Roman"/>
          <w:sz w:val="28"/>
          <w:szCs w:val="28"/>
        </w:rPr>
        <w:t>ах.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 </w:t>
      </w:r>
      <w:r w:rsidR="00E8535A">
        <w:rPr>
          <w:rFonts w:ascii="Times New Roman" w:hAnsi="Times New Roman" w:cs="Times New Roman"/>
          <w:sz w:val="28"/>
          <w:szCs w:val="28"/>
        </w:rPr>
        <w:t>Целью работ</w:t>
      </w:r>
      <w:r w:rsidR="00AD3228">
        <w:rPr>
          <w:rFonts w:ascii="Times New Roman" w:hAnsi="Times New Roman" w:cs="Times New Roman"/>
          <w:sz w:val="28"/>
          <w:szCs w:val="28"/>
        </w:rPr>
        <w:t>ы является</w:t>
      </w:r>
      <w:r w:rsidR="00E8535A">
        <w:rPr>
          <w:rFonts w:ascii="Times New Roman" w:hAnsi="Times New Roman" w:cs="Times New Roman"/>
          <w:sz w:val="28"/>
          <w:szCs w:val="28"/>
        </w:rPr>
        <w:t xml:space="preserve"> </w:t>
      </w:r>
      <w:r w:rsidR="00AD3228">
        <w:rPr>
          <w:rFonts w:ascii="Times New Roman" w:hAnsi="Times New Roman" w:cs="Times New Roman"/>
          <w:sz w:val="28"/>
          <w:szCs w:val="28"/>
        </w:rPr>
        <w:t>проведение количественных оценок</w:t>
      </w:r>
      <w:r w:rsidR="00E8535A">
        <w:rPr>
          <w:rFonts w:ascii="Times New Roman" w:hAnsi="Times New Roman" w:cs="Times New Roman"/>
          <w:sz w:val="28"/>
          <w:szCs w:val="28"/>
        </w:rPr>
        <w:t xml:space="preserve"> </w:t>
      </w:r>
      <w:r w:rsidR="00D05EAC" w:rsidRPr="00D05EAC">
        <w:rPr>
          <w:rFonts w:ascii="Times New Roman" w:hAnsi="Times New Roman" w:cs="Times New Roman"/>
          <w:sz w:val="28"/>
          <w:szCs w:val="28"/>
        </w:rPr>
        <w:t>доли выпускников, трудоустроенных за пределами академического сектора</w:t>
      </w:r>
      <w:r w:rsidR="00AD3228" w:rsidRPr="00AD3228">
        <w:rPr>
          <w:rFonts w:ascii="Times New Roman" w:hAnsi="Times New Roman" w:cs="Times New Roman"/>
          <w:sz w:val="28"/>
          <w:szCs w:val="28"/>
        </w:rPr>
        <w:t>;</w:t>
      </w:r>
      <w:r w:rsidR="00AD3228">
        <w:rPr>
          <w:rFonts w:ascii="Times New Roman" w:hAnsi="Times New Roman" w:cs="Times New Roman"/>
          <w:sz w:val="28"/>
          <w:szCs w:val="28"/>
        </w:rPr>
        <w:t xml:space="preserve"> 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масштабов распространенности диссертаций, тематика которых связана с профессиональной деятельностью их авторов; реальных практик подготовки диссертаций </w:t>
      </w:r>
      <w:r w:rsidR="00AD3228">
        <w:rPr>
          <w:rFonts w:ascii="Times New Roman" w:hAnsi="Times New Roman" w:cs="Times New Roman"/>
          <w:sz w:val="28"/>
          <w:szCs w:val="28"/>
        </w:rPr>
        <w:t>на основе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AD3228">
        <w:rPr>
          <w:rFonts w:ascii="Times New Roman" w:hAnsi="Times New Roman" w:cs="Times New Roman"/>
          <w:sz w:val="28"/>
          <w:szCs w:val="28"/>
        </w:rPr>
        <w:t>я</w:t>
      </w:r>
      <w:r w:rsidR="00D05EAC" w:rsidRPr="00D05EAC">
        <w:rPr>
          <w:rFonts w:ascii="Times New Roman" w:hAnsi="Times New Roman" w:cs="Times New Roman"/>
          <w:sz w:val="28"/>
          <w:szCs w:val="28"/>
        </w:rPr>
        <w:t xml:space="preserve"> университетов и работодателей.</w:t>
      </w:r>
    </w:p>
    <w:p w14:paraId="17430904" w14:textId="38A8025B" w:rsidR="00470BD8" w:rsidRPr="005622DE" w:rsidRDefault="005622DE" w:rsidP="00955E3E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2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470BD8" w:rsidRPr="005622DE">
        <w:rPr>
          <w:rFonts w:ascii="Times New Roman" w:hAnsi="Times New Roman" w:cs="Times New Roman"/>
          <w:b/>
          <w:bCs/>
          <w:sz w:val="28"/>
          <w:szCs w:val="28"/>
        </w:rPr>
        <w:t>етод</w:t>
      </w:r>
      <w:r w:rsidRPr="005622DE">
        <w:rPr>
          <w:rFonts w:ascii="Times New Roman" w:hAnsi="Times New Roman" w:cs="Times New Roman"/>
          <w:b/>
          <w:bCs/>
          <w:sz w:val="28"/>
          <w:szCs w:val="28"/>
        </w:rPr>
        <w:t xml:space="preserve"> и данные</w:t>
      </w:r>
    </w:p>
    <w:p w14:paraId="56C3BAAA" w14:textId="7C068E21" w:rsidR="005622DE" w:rsidRDefault="005622DE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исследований </w:t>
      </w:r>
      <w:r w:rsidRPr="005622DE">
        <w:rPr>
          <w:rFonts w:ascii="Times New Roman" w:hAnsi="Times New Roman" w:cs="Times New Roman"/>
          <w:sz w:val="28"/>
          <w:szCs w:val="28"/>
        </w:rPr>
        <w:t xml:space="preserve">создана авторская база данных 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622DE">
        <w:rPr>
          <w:rFonts w:ascii="Times New Roman" w:hAnsi="Times New Roman" w:cs="Times New Roman"/>
          <w:sz w:val="28"/>
          <w:szCs w:val="28"/>
        </w:rPr>
        <w:t xml:space="preserve">защитах кандидатских диссертаций в области технических наук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22DE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5622DE">
        <w:rPr>
          <w:rFonts w:ascii="Times New Roman" w:hAnsi="Times New Roman" w:cs="Times New Roman"/>
          <w:sz w:val="28"/>
          <w:szCs w:val="28"/>
        </w:rPr>
        <w:t xml:space="preserve"> </w:t>
      </w:r>
      <w:r w:rsidR="005E00A6">
        <w:rPr>
          <w:rFonts w:ascii="Times New Roman" w:hAnsi="Times New Roman" w:cs="Times New Roman"/>
          <w:sz w:val="28"/>
          <w:szCs w:val="28"/>
        </w:rPr>
        <w:t>В ней</w:t>
      </w:r>
      <w:r w:rsidRPr="005622DE">
        <w:rPr>
          <w:rFonts w:ascii="Times New Roman" w:hAnsi="Times New Roman" w:cs="Times New Roman"/>
          <w:sz w:val="28"/>
          <w:szCs w:val="28"/>
        </w:rPr>
        <w:t xml:space="preserve"> содержится информация о периоде и форме обучения в аспирантуре, месте трудоустройства </w:t>
      </w:r>
      <w:r w:rsidR="005E00A6">
        <w:rPr>
          <w:rFonts w:ascii="Times New Roman" w:hAnsi="Times New Roman" w:cs="Times New Roman"/>
          <w:sz w:val="28"/>
          <w:szCs w:val="28"/>
        </w:rPr>
        <w:t>диссертантов</w:t>
      </w:r>
      <w:r w:rsidRPr="005622DE">
        <w:rPr>
          <w:rFonts w:ascii="Times New Roman" w:hAnsi="Times New Roman" w:cs="Times New Roman"/>
          <w:sz w:val="28"/>
          <w:szCs w:val="28"/>
        </w:rPr>
        <w:t xml:space="preserve">, количестве опубликованных ими работ по теме диссертации и </w:t>
      </w:r>
      <w:r w:rsidR="005E00A6">
        <w:rPr>
          <w:rFonts w:ascii="Times New Roman" w:hAnsi="Times New Roman" w:cs="Times New Roman"/>
          <w:sz w:val="28"/>
          <w:szCs w:val="28"/>
        </w:rPr>
        <w:t xml:space="preserve">ряд </w:t>
      </w:r>
      <w:r w:rsidRPr="005622DE">
        <w:rPr>
          <w:rFonts w:ascii="Times New Roman" w:hAnsi="Times New Roman" w:cs="Times New Roman"/>
          <w:sz w:val="28"/>
          <w:szCs w:val="28"/>
        </w:rPr>
        <w:t>други</w:t>
      </w:r>
      <w:r w:rsidR="005E00A6">
        <w:rPr>
          <w:rFonts w:ascii="Times New Roman" w:hAnsi="Times New Roman" w:cs="Times New Roman"/>
          <w:sz w:val="28"/>
          <w:szCs w:val="28"/>
        </w:rPr>
        <w:t>х</w:t>
      </w:r>
      <w:r w:rsidRPr="005622D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5E00A6">
        <w:rPr>
          <w:rFonts w:ascii="Times New Roman" w:hAnsi="Times New Roman" w:cs="Times New Roman"/>
          <w:sz w:val="28"/>
          <w:szCs w:val="28"/>
        </w:rPr>
        <w:t>х</w:t>
      </w:r>
      <w:r w:rsidRPr="005622DE">
        <w:rPr>
          <w:rFonts w:ascii="Times New Roman" w:hAnsi="Times New Roman" w:cs="Times New Roman"/>
          <w:sz w:val="28"/>
          <w:szCs w:val="28"/>
        </w:rPr>
        <w:t xml:space="preserve">. Заполнение базы осуществлялось </w:t>
      </w:r>
      <w:r w:rsidR="005E00A6">
        <w:rPr>
          <w:rFonts w:ascii="Times New Roman" w:hAnsi="Times New Roman" w:cs="Times New Roman"/>
          <w:sz w:val="28"/>
          <w:szCs w:val="28"/>
        </w:rPr>
        <w:t>в результате</w:t>
      </w:r>
      <w:r w:rsidRPr="005622DE">
        <w:rPr>
          <w:rFonts w:ascii="Times New Roman" w:hAnsi="Times New Roman" w:cs="Times New Roman"/>
          <w:sz w:val="28"/>
          <w:szCs w:val="28"/>
        </w:rPr>
        <w:t xml:space="preserve"> анализа документов, размещенных в открытом доступе на портале Высшей аттестационной комиссии РФ (https://vak.minobrnauki.gov.ru) и на сайтах диссертационных советов</w:t>
      </w:r>
      <w:r w:rsidR="005E00A6">
        <w:rPr>
          <w:rFonts w:ascii="Times New Roman" w:hAnsi="Times New Roman" w:cs="Times New Roman"/>
          <w:sz w:val="28"/>
          <w:szCs w:val="28"/>
        </w:rPr>
        <w:t>. А</w:t>
      </w:r>
      <w:r w:rsidRPr="005622DE">
        <w:rPr>
          <w:rFonts w:ascii="Times New Roman" w:hAnsi="Times New Roman" w:cs="Times New Roman"/>
          <w:sz w:val="28"/>
          <w:szCs w:val="28"/>
        </w:rPr>
        <w:t>нализировались следующие документы: заключение диссертационного совета о присуждении степени кандидата наук, отзыв научного руководителя</w:t>
      </w:r>
      <w:r w:rsidR="005E00A6">
        <w:rPr>
          <w:rFonts w:ascii="Times New Roman" w:hAnsi="Times New Roman" w:cs="Times New Roman"/>
          <w:sz w:val="28"/>
          <w:szCs w:val="28"/>
        </w:rPr>
        <w:t xml:space="preserve"> и</w:t>
      </w:r>
      <w:r w:rsidRPr="005622DE">
        <w:rPr>
          <w:rFonts w:ascii="Times New Roman" w:hAnsi="Times New Roman" w:cs="Times New Roman"/>
          <w:sz w:val="28"/>
          <w:szCs w:val="28"/>
        </w:rPr>
        <w:t xml:space="preserve"> автореферат</w:t>
      </w:r>
      <w:r w:rsidR="005E00A6">
        <w:rPr>
          <w:rFonts w:ascii="Times New Roman" w:hAnsi="Times New Roman" w:cs="Times New Roman"/>
          <w:sz w:val="28"/>
          <w:szCs w:val="28"/>
        </w:rPr>
        <w:t xml:space="preserve"> диссертации</w:t>
      </w:r>
      <w:r w:rsidRPr="005622DE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5E00A6">
        <w:rPr>
          <w:rFonts w:ascii="Times New Roman" w:hAnsi="Times New Roman" w:cs="Times New Roman"/>
          <w:sz w:val="28"/>
          <w:szCs w:val="28"/>
        </w:rPr>
        <w:t>получена</w:t>
      </w:r>
      <w:r w:rsidRPr="005622DE">
        <w:rPr>
          <w:rFonts w:ascii="Times New Roman" w:hAnsi="Times New Roman" w:cs="Times New Roman"/>
          <w:sz w:val="28"/>
          <w:szCs w:val="28"/>
        </w:rPr>
        <w:t xml:space="preserve"> информация о 1663 соискателях</w:t>
      </w:r>
      <w:r w:rsidR="005E00A6">
        <w:rPr>
          <w:rFonts w:ascii="Times New Roman" w:hAnsi="Times New Roman" w:cs="Times New Roman"/>
          <w:sz w:val="28"/>
          <w:szCs w:val="28"/>
        </w:rPr>
        <w:t xml:space="preserve"> ученой степени</w:t>
      </w:r>
      <w:r w:rsidRPr="005622DE">
        <w:rPr>
          <w:rFonts w:ascii="Times New Roman" w:hAnsi="Times New Roman" w:cs="Times New Roman"/>
          <w:sz w:val="28"/>
          <w:szCs w:val="28"/>
        </w:rPr>
        <w:t xml:space="preserve">, защитивших диссертации </w:t>
      </w:r>
      <w:r w:rsidR="005E00A6">
        <w:rPr>
          <w:rFonts w:ascii="Times New Roman" w:hAnsi="Times New Roman" w:cs="Times New Roman"/>
          <w:sz w:val="28"/>
          <w:szCs w:val="28"/>
        </w:rPr>
        <w:t>по различным научным специальностям в области</w:t>
      </w:r>
      <w:r w:rsidRPr="005622DE">
        <w:rPr>
          <w:rFonts w:ascii="Times New Roman" w:hAnsi="Times New Roman" w:cs="Times New Roman"/>
          <w:sz w:val="28"/>
          <w:szCs w:val="28"/>
        </w:rPr>
        <w:t xml:space="preserve"> технических наук. </w:t>
      </w:r>
      <w:r w:rsidR="0035568E">
        <w:rPr>
          <w:rFonts w:ascii="Times New Roman" w:hAnsi="Times New Roman" w:cs="Times New Roman"/>
          <w:sz w:val="28"/>
          <w:szCs w:val="28"/>
        </w:rPr>
        <w:t>В рамках поставленной задачи</w:t>
      </w:r>
      <w:r w:rsidRPr="005622DE">
        <w:rPr>
          <w:rFonts w:ascii="Times New Roman" w:hAnsi="Times New Roman" w:cs="Times New Roman"/>
          <w:sz w:val="28"/>
          <w:szCs w:val="28"/>
        </w:rPr>
        <w:t xml:space="preserve"> </w:t>
      </w:r>
      <w:r w:rsidR="0035568E">
        <w:rPr>
          <w:rFonts w:ascii="Times New Roman" w:hAnsi="Times New Roman" w:cs="Times New Roman"/>
          <w:sz w:val="28"/>
          <w:szCs w:val="28"/>
        </w:rPr>
        <w:t>проведен анализ данных</w:t>
      </w:r>
      <w:r w:rsidRPr="005622DE">
        <w:rPr>
          <w:rFonts w:ascii="Times New Roman" w:hAnsi="Times New Roman" w:cs="Times New Roman"/>
          <w:sz w:val="28"/>
          <w:szCs w:val="28"/>
        </w:rPr>
        <w:t xml:space="preserve"> о 715 соискателях, </w:t>
      </w:r>
      <w:r w:rsidR="0035568E">
        <w:rPr>
          <w:rFonts w:ascii="Times New Roman" w:hAnsi="Times New Roman" w:cs="Times New Roman"/>
          <w:sz w:val="28"/>
          <w:szCs w:val="28"/>
        </w:rPr>
        <w:t xml:space="preserve">отобранных по </w:t>
      </w:r>
      <w:r w:rsidRPr="005622DE">
        <w:rPr>
          <w:rFonts w:ascii="Times New Roman" w:hAnsi="Times New Roman" w:cs="Times New Roman"/>
          <w:sz w:val="28"/>
          <w:szCs w:val="28"/>
        </w:rPr>
        <w:t xml:space="preserve">двум </w:t>
      </w:r>
      <w:r w:rsidR="0035568E">
        <w:rPr>
          <w:rFonts w:ascii="Times New Roman" w:hAnsi="Times New Roman" w:cs="Times New Roman"/>
          <w:sz w:val="28"/>
          <w:szCs w:val="28"/>
        </w:rPr>
        <w:t>критериям</w:t>
      </w:r>
      <w:r w:rsidRPr="005622DE">
        <w:rPr>
          <w:rFonts w:ascii="Times New Roman" w:hAnsi="Times New Roman" w:cs="Times New Roman"/>
          <w:sz w:val="28"/>
          <w:szCs w:val="28"/>
        </w:rPr>
        <w:t xml:space="preserve">: </w:t>
      </w:r>
      <w:r w:rsidR="0035568E">
        <w:rPr>
          <w:rFonts w:ascii="Times New Roman" w:hAnsi="Times New Roman" w:cs="Times New Roman"/>
          <w:sz w:val="28"/>
          <w:szCs w:val="28"/>
        </w:rPr>
        <w:t xml:space="preserve">1) </w:t>
      </w:r>
      <w:r w:rsidRPr="005622DE">
        <w:rPr>
          <w:rFonts w:ascii="Times New Roman" w:hAnsi="Times New Roman" w:cs="Times New Roman"/>
          <w:sz w:val="28"/>
          <w:szCs w:val="28"/>
        </w:rPr>
        <w:t>документально</w:t>
      </w:r>
      <w:r w:rsidR="0035568E">
        <w:rPr>
          <w:rFonts w:ascii="Times New Roman" w:hAnsi="Times New Roman" w:cs="Times New Roman"/>
          <w:sz w:val="28"/>
          <w:szCs w:val="28"/>
        </w:rPr>
        <w:t>е</w:t>
      </w:r>
      <w:r w:rsidRPr="005622DE">
        <w:rPr>
          <w:rFonts w:ascii="Times New Roman" w:hAnsi="Times New Roman" w:cs="Times New Roman"/>
          <w:sz w:val="28"/>
          <w:szCs w:val="28"/>
        </w:rPr>
        <w:t xml:space="preserve"> подтвержден</w:t>
      </w:r>
      <w:r w:rsidR="0035568E">
        <w:rPr>
          <w:rFonts w:ascii="Times New Roman" w:hAnsi="Times New Roman" w:cs="Times New Roman"/>
          <w:sz w:val="28"/>
          <w:szCs w:val="28"/>
        </w:rPr>
        <w:t>ие</w:t>
      </w:r>
      <w:r w:rsidRPr="005622DE">
        <w:rPr>
          <w:rFonts w:ascii="Times New Roman" w:hAnsi="Times New Roman" w:cs="Times New Roman"/>
          <w:sz w:val="28"/>
          <w:szCs w:val="28"/>
        </w:rPr>
        <w:t xml:space="preserve"> факт</w:t>
      </w:r>
      <w:r w:rsidR="0035568E">
        <w:rPr>
          <w:rFonts w:ascii="Times New Roman" w:hAnsi="Times New Roman" w:cs="Times New Roman"/>
          <w:sz w:val="28"/>
          <w:szCs w:val="28"/>
        </w:rPr>
        <w:t>а</w:t>
      </w:r>
      <w:r w:rsidRPr="005622DE">
        <w:rPr>
          <w:rFonts w:ascii="Times New Roman" w:hAnsi="Times New Roman" w:cs="Times New Roman"/>
          <w:sz w:val="28"/>
          <w:szCs w:val="28"/>
        </w:rPr>
        <w:t xml:space="preserve"> обучения в аспирантуре</w:t>
      </w:r>
      <w:r w:rsidR="0035568E">
        <w:rPr>
          <w:rFonts w:ascii="Times New Roman" w:hAnsi="Times New Roman" w:cs="Times New Roman"/>
          <w:sz w:val="28"/>
          <w:szCs w:val="28"/>
        </w:rPr>
        <w:t>, 2)</w:t>
      </w:r>
      <w:r w:rsidRPr="005622DE">
        <w:rPr>
          <w:rFonts w:ascii="Times New Roman" w:hAnsi="Times New Roman" w:cs="Times New Roman"/>
          <w:sz w:val="28"/>
          <w:szCs w:val="28"/>
        </w:rPr>
        <w:t xml:space="preserve"> </w:t>
      </w:r>
      <w:r w:rsidR="0035568E">
        <w:rPr>
          <w:rFonts w:ascii="Times New Roman" w:hAnsi="Times New Roman" w:cs="Times New Roman"/>
          <w:sz w:val="28"/>
          <w:szCs w:val="28"/>
        </w:rPr>
        <w:t>наличие</w:t>
      </w:r>
      <w:r w:rsidRPr="005622D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5568E">
        <w:rPr>
          <w:rFonts w:ascii="Times New Roman" w:hAnsi="Times New Roman" w:cs="Times New Roman"/>
          <w:sz w:val="28"/>
          <w:szCs w:val="28"/>
        </w:rPr>
        <w:t>и</w:t>
      </w:r>
      <w:r w:rsidRPr="005622DE">
        <w:rPr>
          <w:rFonts w:ascii="Times New Roman" w:hAnsi="Times New Roman" w:cs="Times New Roman"/>
          <w:sz w:val="28"/>
          <w:szCs w:val="28"/>
        </w:rPr>
        <w:t xml:space="preserve"> о месте работы на момент защиты диссертации. </w:t>
      </w:r>
    </w:p>
    <w:p w14:paraId="77898927" w14:textId="54B72CD6" w:rsidR="00EE520D" w:rsidRPr="00EE520D" w:rsidRDefault="00EE520D" w:rsidP="00955E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20D">
        <w:rPr>
          <w:rFonts w:ascii="Times New Roman" w:hAnsi="Times New Roman" w:cs="Times New Roman"/>
          <w:b/>
          <w:bCs/>
          <w:sz w:val="28"/>
          <w:szCs w:val="28"/>
        </w:rPr>
        <w:t>Результаты и обсуждение</w:t>
      </w:r>
    </w:p>
    <w:p w14:paraId="071A479F" w14:textId="572FC26C" w:rsidR="00273EBB" w:rsidRDefault="00EE520D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i/>
          <w:iCs/>
          <w:sz w:val="28"/>
          <w:szCs w:val="28"/>
          <w:u w:val="single"/>
        </w:rPr>
        <w:t>Карьерные траектории</w:t>
      </w:r>
      <w:r w:rsidRPr="00EE52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520D">
        <w:rPr>
          <w:rFonts w:ascii="Times New Roman" w:hAnsi="Times New Roman" w:cs="Times New Roman"/>
          <w:sz w:val="28"/>
          <w:szCs w:val="28"/>
        </w:rPr>
        <w:t xml:space="preserve">ошедшие в выборку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520D">
        <w:rPr>
          <w:rFonts w:ascii="Times New Roman" w:hAnsi="Times New Roman" w:cs="Times New Roman"/>
          <w:sz w:val="28"/>
          <w:szCs w:val="28"/>
        </w:rPr>
        <w:t xml:space="preserve">андидаты технических наук были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Pr="00EE520D">
        <w:rPr>
          <w:rFonts w:ascii="Times New Roman" w:hAnsi="Times New Roman" w:cs="Times New Roman"/>
          <w:sz w:val="28"/>
          <w:szCs w:val="28"/>
        </w:rPr>
        <w:t xml:space="preserve"> 6 групп в зависимости от сферы трудоустройства (рис</w:t>
      </w:r>
      <w:r>
        <w:rPr>
          <w:rFonts w:ascii="Times New Roman" w:hAnsi="Times New Roman" w:cs="Times New Roman"/>
          <w:sz w:val="28"/>
          <w:szCs w:val="28"/>
        </w:rPr>
        <w:t>унок</w:t>
      </w:r>
      <w:r w:rsidR="00A42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520D">
        <w:rPr>
          <w:rFonts w:ascii="Times New Roman" w:hAnsi="Times New Roman" w:cs="Times New Roman"/>
          <w:sz w:val="28"/>
          <w:szCs w:val="28"/>
        </w:rPr>
        <w:t>1). В результате анализа обнаружено, что значительная доля соискателей трудоустроена за пределами академического сектора</w:t>
      </w:r>
      <w:r w:rsidR="007100D7" w:rsidRPr="007100D7">
        <w:rPr>
          <w:rFonts w:ascii="Times New Roman" w:hAnsi="Times New Roman" w:cs="Times New Roman"/>
          <w:sz w:val="28"/>
          <w:szCs w:val="28"/>
        </w:rPr>
        <w:t>:</w:t>
      </w:r>
      <w:r w:rsidRPr="00EE520D">
        <w:rPr>
          <w:rFonts w:ascii="Times New Roman" w:hAnsi="Times New Roman" w:cs="Times New Roman"/>
          <w:sz w:val="28"/>
          <w:szCs w:val="28"/>
        </w:rPr>
        <w:t xml:space="preserve"> </w:t>
      </w:r>
      <w:r w:rsidR="007100D7">
        <w:rPr>
          <w:rFonts w:ascii="Times New Roman" w:hAnsi="Times New Roman" w:cs="Times New Roman"/>
          <w:sz w:val="28"/>
          <w:szCs w:val="28"/>
        </w:rPr>
        <w:t>в среднем по выборке</w:t>
      </w:r>
      <w:r w:rsidR="007100D7" w:rsidRPr="007100D7">
        <w:rPr>
          <w:rFonts w:ascii="Times New Roman" w:hAnsi="Times New Roman" w:cs="Times New Roman"/>
          <w:sz w:val="28"/>
          <w:szCs w:val="28"/>
        </w:rPr>
        <w:t xml:space="preserve"> </w:t>
      </w:r>
      <w:r w:rsidRPr="00EE520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100D7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>диссертант</w:t>
      </w:r>
      <w:r w:rsidRPr="00EE520D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E520D">
        <w:rPr>
          <w:rFonts w:ascii="Times New Roman" w:hAnsi="Times New Roman" w:cs="Times New Roman"/>
          <w:sz w:val="28"/>
          <w:szCs w:val="28"/>
        </w:rPr>
        <w:t xml:space="preserve"> в организациях частного сектора экономики в сфере НИОКР, инженерных и технологических разработок.</w:t>
      </w:r>
    </w:p>
    <w:p w14:paraId="3F6175F7" w14:textId="5D4580C6" w:rsidR="00EE520D" w:rsidRDefault="007100D7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7100D7">
        <w:rPr>
          <w:rFonts w:ascii="Times New Roman" w:hAnsi="Times New Roman" w:cs="Times New Roman"/>
          <w:sz w:val="28"/>
          <w:szCs w:val="28"/>
        </w:rPr>
        <w:t xml:space="preserve">отрасль технических наук является </w:t>
      </w:r>
      <w:r w:rsidR="00AE03EA">
        <w:rPr>
          <w:rFonts w:ascii="Times New Roman" w:hAnsi="Times New Roman" w:cs="Times New Roman"/>
          <w:sz w:val="28"/>
          <w:szCs w:val="28"/>
        </w:rPr>
        <w:t>масштабной</w:t>
      </w:r>
      <w:r w:rsidRPr="007100D7">
        <w:rPr>
          <w:rFonts w:ascii="Times New Roman" w:hAnsi="Times New Roman" w:cs="Times New Roman"/>
          <w:sz w:val="28"/>
          <w:szCs w:val="28"/>
        </w:rPr>
        <w:t xml:space="preserve"> (</w:t>
      </w:r>
      <w:r w:rsidR="00AE03EA" w:rsidRPr="007100D7">
        <w:rPr>
          <w:rFonts w:ascii="Times New Roman" w:hAnsi="Times New Roman" w:cs="Times New Roman"/>
          <w:sz w:val="28"/>
          <w:szCs w:val="28"/>
        </w:rPr>
        <w:t>21,3%</w:t>
      </w:r>
      <w:r w:rsidR="00AE03EA">
        <w:rPr>
          <w:rFonts w:ascii="Times New Roman" w:hAnsi="Times New Roman" w:cs="Times New Roman"/>
          <w:sz w:val="28"/>
          <w:szCs w:val="28"/>
        </w:rPr>
        <w:t xml:space="preserve"> </w:t>
      </w:r>
      <w:r w:rsidRPr="007100D7">
        <w:rPr>
          <w:rFonts w:ascii="Times New Roman" w:hAnsi="Times New Roman" w:cs="Times New Roman"/>
          <w:sz w:val="28"/>
          <w:szCs w:val="28"/>
        </w:rPr>
        <w:t>всех кандидатских диссертаций</w:t>
      </w:r>
      <w:r w:rsidR="003D0248">
        <w:rPr>
          <w:rFonts w:ascii="Times New Roman" w:hAnsi="Times New Roman" w:cs="Times New Roman"/>
          <w:sz w:val="28"/>
          <w:szCs w:val="28"/>
        </w:rPr>
        <w:t>,</w:t>
      </w:r>
      <w:r w:rsidRPr="007100D7">
        <w:rPr>
          <w:rFonts w:ascii="Times New Roman" w:hAnsi="Times New Roman" w:cs="Times New Roman"/>
          <w:sz w:val="28"/>
          <w:szCs w:val="28"/>
        </w:rPr>
        <w:t xml:space="preserve"> </w:t>
      </w:r>
      <w:r w:rsidR="003D0248" w:rsidRPr="007100D7">
        <w:rPr>
          <w:rFonts w:ascii="Times New Roman" w:hAnsi="Times New Roman" w:cs="Times New Roman"/>
          <w:sz w:val="28"/>
          <w:szCs w:val="28"/>
        </w:rPr>
        <w:t>защи</w:t>
      </w:r>
      <w:r w:rsidR="003D0248">
        <w:rPr>
          <w:rFonts w:ascii="Times New Roman" w:hAnsi="Times New Roman" w:cs="Times New Roman"/>
          <w:sz w:val="28"/>
          <w:szCs w:val="28"/>
        </w:rPr>
        <w:t>щенных</w:t>
      </w:r>
      <w:r w:rsidR="003D0248" w:rsidRPr="007100D7">
        <w:rPr>
          <w:rFonts w:ascii="Times New Roman" w:hAnsi="Times New Roman" w:cs="Times New Roman"/>
          <w:sz w:val="28"/>
          <w:szCs w:val="28"/>
        </w:rPr>
        <w:t xml:space="preserve"> </w:t>
      </w:r>
      <w:r w:rsidR="00273EBB">
        <w:rPr>
          <w:rFonts w:ascii="Times New Roman" w:hAnsi="Times New Roman" w:cs="Times New Roman"/>
          <w:sz w:val="28"/>
          <w:szCs w:val="28"/>
        </w:rPr>
        <w:t xml:space="preserve">в </w:t>
      </w:r>
      <w:r w:rsidRPr="007100D7">
        <w:rPr>
          <w:rFonts w:ascii="Times New Roman" w:hAnsi="Times New Roman" w:cs="Times New Roman"/>
          <w:sz w:val="28"/>
          <w:szCs w:val="28"/>
        </w:rPr>
        <w:t>2019 год</w:t>
      </w:r>
      <w:r w:rsidR="00273EBB">
        <w:rPr>
          <w:rFonts w:ascii="Times New Roman" w:hAnsi="Times New Roman" w:cs="Times New Roman"/>
          <w:sz w:val="28"/>
          <w:szCs w:val="28"/>
        </w:rPr>
        <w:t>у</w:t>
      </w:r>
      <w:r w:rsidRPr="007100D7">
        <w:rPr>
          <w:rFonts w:ascii="Times New Roman" w:hAnsi="Times New Roman" w:cs="Times New Roman"/>
          <w:sz w:val="28"/>
          <w:szCs w:val="28"/>
        </w:rPr>
        <w:t>)</w:t>
      </w:r>
      <w:r w:rsidR="003D0248">
        <w:rPr>
          <w:rFonts w:ascii="Times New Roman" w:hAnsi="Times New Roman" w:cs="Times New Roman"/>
          <w:sz w:val="28"/>
          <w:szCs w:val="28"/>
        </w:rPr>
        <w:t>,</w:t>
      </w:r>
      <w:r w:rsidRPr="007100D7">
        <w:rPr>
          <w:rFonts w:ascii="Times New Roman" w:hAnsi="Times New Roman" w:cs="Times New Roman"/>
          <w:sz w:val="28"/>
          <w:szCs w:val="28"/>
        </w:rPr>
        <w:t xml:space="preserve"> </w:t>
      </w:r>
      <w:r w:rsidR="00273EBB">
        <w:rPr>
          <w:rFonts w:ascii="Times New Roman" w:hAnsi="Times New Roman" w:cs="Times New Roman"/>
          <w:sz w:val="28"/>
          <w:szCs w:val="28"/>
        </w:rPr>
        <w:t xml:space="preserve">для изучения особенностей </w:t>
      </w:r>
      <w:r w:rsidR="00273EBB" w:rsidRPr="00273EBB">
        <w:rPr>
          <w:rFonts w:ascii="Times New Roman" w:hAnsi="Times New Roman" w:cs="Times New Roman"/>
          <w:sz w:val="28"/>
          <w:szCs w:val="28"/>
        </w:rPr>
        <w:t>распределени</w:t>
      </w:r>
      <w:r w:rsidR="00273EBB">
        <w:rPr>
          <w:rFonts w:ascii="Times New Roman" w:hAnsi="Times New Roman" w:cs="Times New Roman"/>
          <w:sz w:val="28"/>
          <w:szCs w:val="28"/>
        </w:rPr>
        <w:t>й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соискателей</w:t>
      </w:r>
      <w:r w:rsidR="00273EBB">
        <w:rPr>
          <w:rFonts w:ascii="Times New Roman" w:hAnsi="Times New Roman" w:cs="Times New Roman"/>
          <w:sz w:val="28"/>
          <w:szCs w:val="28"/>
        </w:rPr>
        <w:t xml:space="preserve"> </w:t>
      </w:r>
      <w:r w:rsidR="003D0248" w:rsidRPr="00273EBB">
        <w:rPr>
          <w:rFonts w:ascii="Times New Roman" w:hAnsi="Times New Roman" w:cs="Times New Roman"/>
          <w:sz w:val="28"/>
          <w:szCs w:val="28"/>
        </w:rPr>
        <w:t>по месту работы</w:t>
      </w:r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="00273EBB">
        <w:rPr>
          <w:rFonts w:ascii="Times New Roman" w:hAnsi="Times New Roman" w:cs="Times New Roman"/>
          <w:sz w:val="28"/>
          <w:szCs w:val="28"/>
        </w:rPr>
        <w:t>выборка</w:t>
      </w:r>
      <w:r w:rsidRPr="007100D7">
        <w:rPr>
          <w:rFonts w:ascii="Times New Roman" w:hAnsi="Times New Roman" w:cs="Times New Roman"/>
          <w:sz w:val="28"/>
          <w:szCs w:val="28"/>
        </w:rPr>
        <w:t xml:space="preserve"> был</w:t>
      </w:r>
      <w:r w:rsidR="00273EBB">
        <w:rPr>
          <w:rFonts w:ascii="Times New Roman" w:hAnsi="Times New Roman" w:cs="Times New Roman"/>
          <w:sz w:val="28"/>
          <w:szCs w:val="28"/>
        </w:rPr>
        <w:t>а</w:t>
      </w:r>
      <w:r w:rsidRPr="007100D7">
        <w:rPr>
          <w:rFonts w:ascii="Times New Roman" w:hAnsi="Times New Roman" w:cs="Times New Roman"/>
          <w:sz w:val="28"/>
          <w:szCs w:val="28"/>
        </w:rPr>
        <w:t xml:space="preserve"> сгруппирован</w:t>
      </w:r>
      <w:r w:rsidR="00273EBB">
        <w:rPr>
          <w:rFonts w:ascii="Times New Roman" w:hAnsi="Times New Roman" w:cs="Times New Roman"/>
          <w:sz w:val="28"/>
          <w:szCs w:val="28"/>
        </w:rPr>
        <w:t>а</w:t>
      </w:r>
      <w:r w:rsidRPr="007100D7">
        <w:rPr>
          <w:rFonts w:ascii="Times New Roman" w:hAnsi="Times New Roman" w:cs="Times New Roman"/>
          <w:sz w:val="28"/>
          <w:szCs w:val="28"/>
        </w:rPr>
        <w:t xml:space="preserve"> по укрупненным направлениям научных специальностей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3D0248">
        <w:rPr>
          <w:rFonts w:ascii="Times New Roman" w:hAnsi="Times New Roman" w:cs="Times New Roman"/>
          <w:sz w:val="28"/>
          <w:szCs w:val="28"/>
        </w:rPr>
        <w:t>анализа данных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найдены различия в карьерных треках аспирантов </w:t>
      </w:r>
      <w:r w:rsidR="003D0248">
        <w:rPr>
          <w:rFonts w:ascii="Times New Roman" w:hAnsi="Times New Roman" w:cs="Times New Roman"/>
          <w:sz w:val="28"/>
          <w:szCs w:val="28"/>
        </w:rPr>
        <w:lastRenderedPageBreak/>
        <w:t>различных тематических групп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3EBB" w:rsidRPr="00273EBB">
        <w:rPr>
          <w:rFonts w:ascii="Times New Roman" w:hAnsi="Times New Roman" w:cs="Times New Roman"/>
          <w:sz w:val="28"/>
          <w:szCs w:val="28"/>
        </w:rPr>
        <w:t xml:space="preserve">Так в организациях частного сектора экономики в сфере НИОКР, инженерных и технологических разработок трудоустроены около 35% выпускников </w:t>
      </w:r>
      <w:r w:rsidR="003D0248">
        <w:rPr>
          <w:rFonts w:ascii="Times New Roman" w:hAnsi="Times New Roman" w:cs="Times New Roman"/>
          <w:sz w:val="28"/>
          <w:szCs w:val="28"/>
        </w:rPr>
        <w:t xml:space="preserve">аспирантур </w:t>
      </w:r>
      <w:r w:rsidR="00AE7D0C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273EBB" w:rsidRPr="00273EBB">
        <w:rPr>
          <w:rFonts w:ascii="Times New Roman" w:hAnsi="Times New Roman" w:cs="Times New Roman"/>
          <w:sz w:val="28"/>
          <w:szCs w:val="28"/>
        </w:rPr>
        <w:t>«машиностроительные специальности»</w:t>
      </w:r>
      <w:r w:rsidR="00AE7D0C">
        <w:rPr>
          <w:rFonts w:ascii="Times New Roman" w:hAnsi="Times New Roman" w:cs="Times New Roman"/>
          <w:sz w:val="28"/>
          <w:szCs w:val="28"/>
        </w:rPr>
        <w:t>,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«науки о земле»</w:t>
      </w:r>
      <w:r w:rsidR="00AE7D0C">
        <w:rPr>
          <w:rFonts w:ascii="Times New Roman" w:hAnsi="Times New Roman" w:cs="Times New Roman"/>
          <w:sz w:val="28"/>
          <w:szCs w:val="28"/>
        </w:rPr>
        <w:t>,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«электроника, радиотехника и приборостроение», а также </w:t>
      </w:r>
      <w:r w:rsidR="00AE7D0C">
        <w:rPr>
          <w:rFonts w:ascii="Times New Roman" w:hAnsi="Times New Roman" w:cs="Times New Roman"/>
          <w:sz w:val="28"/>
          <w:szCs w:val="28"/>
        </w:rPr>
        <w:t>25%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AE7D0C">
        <w:rPr>
          <w:rFonts w:ascii="Times New Roman" w:hAnsi="Times New Roman" w:cs="Times New Roman"/>
          <w:sz w:val="28"/>
          <w:szCs w:val="28"/>
        </w:rPr>
        <w:t>ов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, </w:t>
      </w:r>
      <w:r w:rsidR="00AE7D0C">
        <w:rPr>
          <w:rFonts w:ascii="Times New Roman" w:hAnsi="Times New Roman" w:cs="Times New Roman"/>
          <w:sz w:val="28"/>
          <w:szCs w:val="28"/>
        </w:rPr>
        <w:t>завершивших обучение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по группам специальностей «авиационная и ракетно-космическая техника, кораблестроение»</w:t>
      </w:r>
      <w:r w:rsidR="00AE7D0C">
        <w:rPr>
          <w:rFonts w:ascii="Times New Roman" w:hAnsi="Times New Roman" w:cs="Times New Roman"/>
          <w:sz w:val="28"/>
          <w:szCs w:val="28"/>
        </w:rPr>
        <w:t>,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«металлургия и энергетика»</w:t>
      </w:r>
      <w:r w:rsidR="00AE7D0C">
        <w:rPr>
          <w:rFonts w:ascii="Times New Roman" w:hAnsi="Times New Roman" w:cs="Times New Roman"/>
          <w:sz w:val="28"/>
          <w:szCs w:val="28"/>
        </w:rPr>
        <w:t>,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 «транспорт, строительство, архитектура»</w:t>
      </w:r>
      <w:r w:rsidR="00AE7D0C">
        <w:rPr>
          <w:rFonts w:ascii="Times New Roman" w:hAnsi="Times New Roman" w:cs="Times New Roman"/>
          <w:sz w:val="28"/>
          <w:szCs w:val="28"/>
        </w:rPr>
        <w:t>,</w:t>
      </w:r>
      <w:r w:rsidR="00273EBB" w:rsidRPr="00273EBB">
        <w:rPr>
          <w:rFonts w:ascii="Times New Roman" w:hAnsi="Times New Roman" w:cs="Times New Roman"/>
          <w:sz w:val="28"/>
          <w:szCs w:val="28"/>
        </w:rPr>
        <w:t xml:space="preserve"> «физико-математические специальности» (рисунок 2).</w:t>
      </w:r>
      <w:proofErr w:type="gramEnd"/>
    </w:p>
    <w:p w14:paraId="4AD115D5" w14:textId="77777777" w:rsidR="008A5509" w:rsidRDefault="008A5509" w:rsidP="008A55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1EF113" wp14:editId="12135FE4">
            <wp:extent cx="6120130" cy="2969846"/>
            <wp:effectExtent l="0" t="0" r="0" b="254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E8B434B-E5C6-4FD3-9F13-FE4D1DDEB7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3F5EA6" w14:textId="77777777" w:rsidR="008A5509" w:rsidRDefault="008A5509" w:rsidP="008A5509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Рис. 1</w:t>
      </w:r>
      <w:r w:rsidRPr="00795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кандидатов технических наук по группам в зависимости от сферы трудоустройства</w:t>
      </w:r>
      <w:r w:rsidRPr="00500212">
        <w:t xml:space="preserve"> </w:t>
      </w:r>
    </w:p>
    <w:p w14:paraId="65B74FEA" w14:textId="4C7793EE" w:rsidR="00EE520D" w:rsidRDefault="00AE7D0C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i/>
          <w:iCs/>
          <w:sz w:val="28"/>
          <w:szCs w:val="28"/>
          <w:u w:val="single"/>
        </w:rPr>
        <w:t>Связь темы исследования с профессиональной деятельностью</w:t>
      </w:r>
      <w:r w:rsidRPr="00AE7D0C">
        <w:rPr>
          <w:rFonts w:ascii="Times New Roman" w:hAnsi="Times New Roman" w:cs="Times New Roman"/>
          <w:sz w:val="28"/>
          <w:szCs w:val="28"/>
        </w:rPr>
        <w:t>. Комплексный семантический анализ</w:t>
      </w:r>
      <w:bookmarkStart w:id="1" w:name="_GoBack"/>
      <w:bookmarkEnd w:id="1"/>
      <w:r w:rsidRPr="00AE7D0C">
        <w:rPr>
          <w:rFonts w:ascii="Times New Roman" w:hAnsi="Times New Roman" w:cs="Times New Roman"/>
          <w:sz w:val="28"/>
          <w:szCs w:val="28"/>
        </w:rPr>
        <w:t xml:space="preserve"> тем диссертационных исследований, наименований научных специальностей диссертаций, названий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E7D0C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>, в которых работают диссертанты</w:t>
      </w:r>
      <w:r w:rsidR="00A422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7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E7D0C">
        <w:rPr>
          <w:rFonts w:ascii="Times New Roman" w:hAnsi="Times New Roman" w:cs="Times New Roman"/>
          <w:sz w:val="28"/>
          <w:szCs w:val="28"/>
        </w:rPr>
        <w:t xml:space="preserve">должностей показал, что у 80% выпускников аспирантур - кандидатов технических наук, трудоустроенных в организациях частного сектора экономики в сфере НИОКР, инженерных и технологических разработок, тематика диссертации была связана с </w:t>
      </w:r>
      <w:r w:rsidR="003553A0">
        <w:rPr>
          <w:rFonts w:ascii="Times New Roman" w:hAnsi="Times New Roman" w:cs="Times New Roman"/>
          <w:sz w:val="28"/>
          <w:szCs w:val="28"/>
        </w:rPr>
        <w:t xml:space="preserve">их </w:t>
      </w:r>
      <w:r w:rsidRPr="00AE7D0C">
        <w:rPr>
          <w:rFonts w:ascii="Times New Roman" w:hAnsi="Times New Roman" w:cs="Times New Roman"/>
          <w:sz w:val="28"/>
          <w:szCs w:val="28"/>
        </w:rPr>
        <w:t xml:space="preserve">профессиональной областью. </w:t>
      </w:r>
      <w:r w:rsidR="003553A0">
        <w:rPr>
          <w:rFonts w:ascii="Times New Roman" w:hAnsi="Times New Roman" w:cs="Times New Roman"/>
          <w:sz w:val="28"/>
          <w:szCs w:val="28"/>
        </w:rPr>
        <w:t>Отметим</w:t>
      </w:r>
      <w:r w:rsidRPr="00AE7D0C">
        <w:rPr>
          <w:rFonts w:ascii="Times New Roman" w:hAnsi="Times New Roman" w:cs="Times New Roman"/>
          <w:sz w:val="28"/>
          <w:szCs w:val="28"/>
        </w:rPr>
        <w:t xml:space="preserve">, </w:t>
      </w:r>
      <w:r w:rsidR="003553A0">
        <w:rPr>
          <w:rFonts w:ascii="Times New Roman" w:hAnsi="Times New Roman" w:cs="Times New Roman"/>
          <w:sz w:val="28"/>
          <w:szCs w:val="28"/>
        </w:rPr>
        <w:t>что</w:t>
      </w:r>
      <w:r w:rsidRPr="00AE7D0C">
        <w:rPr>
          <w:rFonts w:ascii="Times New Roman" w:hAnsi="Times New Roman" w:cs="Times New Roman"/>
          <w:sz w:val="28"/>
          <w:szCs w:val="28"/>
        </w:rPr>
        <w:t xml:space="preserve"> </w:t>
      </w:r>
      <w:r w:rsidR="003553A0">
        <w:rPr>
          <w:rFonts w:ascii="Times New Roman" w:hAnsi="Times New Roman" w:cs="Times New Roman"/>
          <w:sz w:val="28"/>
          <w:szCs w:val="28"/>
        </w:rPr>
        <w:t xml:space="preserve">в диссертационных </w:t>
      </w:r>
      <w:r w:rsidR="003553A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 </w:t>
      </w:r>
      <w:r w:rsidRPr="00AE7D0C">
        <w:rPr>
          <w:rFonts w:ascii="Times New Roman" w:hAnsi="Times New Roman" w:cs="Times New Roman"/>
          <w:sz w:val="28"/>
          <w:szCs w:val="28"/>
        </w:rPr>
        <w:t xml:space="preserve">32% кандидатов технических наук </w:t>
      </w:r>
      <w:r w:rsidR="003553A0">
        <w:rPr>
          <w:rFonts w:ascii="Times New Roman" w:hAnsi="Times New Roman" w:cs="Times New Roman"/>
          <w:sz w:val="28"/>
          <w:szCs w:val="28"/>
        </w:rPr>
        <w:t>выявлены данные</w:t>
      </w:r>
      <w:r w:rsidRPr="00AE7D0C">
        <w:rPr>
          <w:rFonts w:ascii="Times New Roman" w:hAnsi="Times New Roman" w:cs="Times New Roman"/>
          <w:sz w:val="28"/>
          <w:szCs w:val="28"/>
        </w:rPr>
        <w:t xml:space="preserve"> о внедрении результатов диссертационного исследования на предприятии, где они работают.</w:t>
      </w:r>
    </w:p>
    <w:p w14:paraId="0A01F65C" w14:textId="77777777" w:rsidR="008A5509" w:rsidRDefault="008A5509" w:rsidP="008A5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89F04F" wp14:editId="1ED4CD49">
            <wp:extent cx="6120130" cy="4431323"/>
            <wp:effectExtent l="0" t="0" r="0" b="762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F9273FE-3792-4EAC-8900-5DC886A51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54CEB0" w14:textId="77777777" w:rsidR="008A5509" w:rsidRDefault="008A5509" w:rsidP="008A550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2</w:t>
      </w:r>
      <w:r w:rsidRPr="0079551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Доля выпускников аспирантуры каждой группы научных специальностей, трудоустроенных в о</w:t>
      </w:r>
      <w:r w:rsidRPr="00300D16">
        <w:rPr>
          <w:rFonts w:ascii="Times New Roman" w:hAnsi="Times New Roman" w:cs="Times New Roman"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300D16">
        <w:rPr>
          <w:rFonts w:ascii="Times New Roman" w:hAnsi="Times New Roman" w:cs="Times New Roman"/>
          <w:bCs/>
          <w:sz w:val="28"/>
          <w:szCs w:val="28"/>
        </w:rPr>
        <w:t xml:space="preserve"> частного сектора экономики в сфере НИОКР, инженерных и технологических разработок</w:t>
      </w:r>
      <w:r w:rsidRPr="00500212">
        <w:t xml:space="preserve"> </w:t>
      </w:r>
    </w:p>
    <w:p w14:paraId="53745E6D" w14:textId="784D22EE" w:rsidR="003553A0" w:rsidRDefault="003553A0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i/>
          <w:iCs/>
          <w:sz w:val="28"/>
          <w:szCs w:val="28"/>
          <w:u w:val="single"/>
        </w:rPr>
        <w:t>Взаимодействие университета и предприятия</w:t>
      </w:r>
      <w:r w:rsidRPr="003553A0">
        <w:rPr>
          <w:rFonts w:ascii="Times New Roman" w:hAnsi="Times New Roman" w:cs="Times New Roman"/>
          <w:sz w:val="28"/>
          <w:szCs w:val="28"/>
        </w:rPr>
        <w:t xml:space="preserve">. </w:t>
      </w:r>
      <w:r w:rsidR="002D22BB">
        <w:rPr>
          <w:rFonts w:ascii="Times New Roman" w:hAnsi="Times New Roman" w:cs="Times New Roman"/>
          <w:sz w:val="28"/>
          <w:szCs w:val="28"/>
        </w:rPr>
        <w:t xml:space="preserve">Документально зафиксировано, что </w:t>
      </w:r>
      <w:r w:rsidR="002D22BB" w:rsidRPr="003553A0">
        <w:rPr>
          <w:rFonts w:ascii="Times New Roman" w:hAnsi="Times New Roman" w:cs="Times New Roman"/>
          <w:sz w:val="28"/>
          <w:szCs w:val="28"/>
        </w:rPr>
        <w:t xml:space="preserve">10% кандидатов технических наук из категории организаций частного сектора экономики в сфере НИОКР, инженерных и технологических разработок выполняли диссертационную работу </w:t>
      </w:r>
      <w:r w:rsidR="000E25C2">
        <w:rPr>
          <w:rFonts w:ascii="Times New Roman" w:hAnsi="Times New Roman" w:cs="Times New Roman"/>
          <w:sz w:val="28"/>
          <w:szCs w:val="28"/>
        </w:rPr>
        <w:t xml:space="preserve">не в вузе, а на предприятии </w:t>
      </w:r>
      <w:r w:rsidR="002D22BB" w:rsidRPr="003553A0">
        <w:rPr>
          <w:rFonts w:ascii="Times New Roman" w:hAnsi="Times New Roman" w:cs="Times New Roman"/>
          <w:sz w:val="28"/>
          <w:szCs w:val="28"/>
        </w:rPr>
        <w:t xml:space="preserve">по месту трудоустройства. В </w:t>
      </w:r>
      <w:r w:rsidR="00692CD0">
        <w:rPr>
          <w:rFonts w:ascii="Times New Roman" w:hAnsi="Times New Roman" w:cs="Times New Roman"/>
          <w:sz w:val="28"/>
          <w:szCs w:val="28"/>
        </w:rPr>
        <w:t>некоторых</w:t>
      </w:r>
      <w:r w:rsidR="002D22BB" w:rsidRPr="003553A0">
        <w:rPr>
          <w:rFonts w:ascii="Times New Roman" w:hAnsi="Times New Roman" w:cs="Times New Roman"/>
          <w:sz w:val="28"/>
          <w:szCs w:val="28"/>
        </w:rPr>
        <w:t xml:space="preserve"> группах специальностей </w:t>
      </w:r>
      <w:r w:rsidR="00692CD0">
        <w:rPr>
          <w:rFonts w:ascii="Times New Roman" w:hAnsi="Times New Roman" w:cs="Times New Roman"/>
          <w:sz w:val="28"/>
          <w:szCs w:val="28"/>
        </w:rPr>
        <w:t>этот</w:t>
      </w:r>
      <w:r w:rsidR="002D22BB" w:rsidRPr="003553A0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0E25C2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2D22BB" w:rsidRPr="003553A0">
        <w:rPr>
          <w:rFonts w:ascii="Times New Roman" w:hAnsi="Times New Roman" w:cs="Times New Roman"/>
          <w:sz w:val="28"/>
          <w:szCs w:val="28"/>
        </w:rPr>
        <w:t>выше</w:t>
      </w:r>
      <w:r w:rsidR="002D22BB" w:rsidRPr="002D22BB">
        <w:rPr>
          <w:rFonts w:ascii="Times New Roman" w:hAnsi="Times New Roman" w:cs="Times New Roman"/>
          <w:sz w:val="28"/>
          <w:szCs w:val="28"/>
        </w:rPr>
        <w:t>:</w:t>
      </w:r>
      <w:r w:rsidR="002D22BB" w:rsidRPr="003553A0">
        <w:rPr>
          <w:rFonts w:ascii="Times New Roman" w:hAnsi="Times New Roman" w:cs="Times New Roman"/>
          <w:sz w:val="28"/>
          <w:szCs w:val="28"/>
        </w:rPr>
        <w:t xml:space="preserve"> например, в группе специальностей «транспорт, строительство, архитектура» каждый четвертый</w:t>
      </w:r>
      <w:r w:rsidR="00692CD0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2D22BB" w:rsidRPr="003553A0">
        <w:rPr>
          <w:rFonts w:ascii="Times New Roman" w:hAnsi="Times New Roman" w:cs="Times New Roman"/>
          <w:sz w:val="28"/>
          <w:szCs w:val="28"/>
        </w:rPr>
        <w:t xml:space="preserve"> </w:t>
      </w:r>
      <w:r w:rsidR="00692CD0">
        <w:rPr>
          <w:rFonts w:ascii="Times New Roman" w:hAnsi="Times New Roman" w:cs="Times New Roman"/>
          <w:sz w:val="28"/>
          <w:szCs w:val="28"/>
        </w:rPr>
        <w:t>готовил диссертацию на предприятии</w:t>
      </w:r>
      <w:r w:rsidR="002D22BB" w:rsidRPr="003553A0">
        <w:rPr>
          <w:rFonts w:ascii="Times New Roman" w:hAnsi="Times New Roman" w:cs="Times New Roman"/>
          <w:sz w:val="28"/>
          <w:szCs w:val="28"/>
        </w:rPr>
        <w:t>.</w:t>
      </w:r>
      <w:r w:rsidR="002D22BB" w:rsidRPr="002D22BB">
        <w:rPr>
          <w:rFonts w:ascii="Times New Roman" w:hAnsi="Times New Roman" w:cs="Times New Roman"/>
          <w:sz w:val="28"/>
          <w:szCs w:val="28"/>
        </w:rPr>
        <w:t xml:space="preserve"> </w:t>
      </w:r>
      <w:r w:rsidRPr="003553A0">
        <w:rPr>
          <w:rFonts w:ascii="Times New Roman" w:hAnsi="Times New Roman" w:cs="Times New Roman"/>
          <w:sz w:val="28"/>
          <w:szCs w:val="28"/>
        </w:rPr>
        <w:t>В авторефератах 7% выпускников аспирантуры</w:t>
      </w:r>
      <w:r w:rsidR="000E25C2">
        <w:rPr>
          <w:rFonts w:ascii="Times New Roman" w:hAnsi="Times New Roman" w:cs="Times New Roman"/>
          <w:sz w:val="28"/>
          <w:szCs w:val="28"/>
        </w:rPr>
        <w:t xml:space="preserve"> </w:t>
      </w:r>
      <w:r w:rsidRPr="003553A0">
        <w:rPr>
          <w:rFonts w:ascii="Times New Roman" w:hAnsi="Times New Roman" w:cs="Times New Roman"/>
          <w:sz w:val="28"/>
          <w:szCs w:val="28"/>
        </w:rPr>
        <w:t>указа</w:t>
      </w:r>
      <w:r w:rsidR="000E25C2">
        <w:rPr>
          <w:rFonts w:ascii="Times New Roman" w:hAnsi="Times New Roman" w:cs="Times New Roman"/>
          <w:sz w:val="28"/>
          <w:szCs w:val="28"/>
        </w:rPr>
        <w:t>ны два места выполнения работы</w:t>
      </w:r>
      <w:r w:rsidR="000E25C2" w:rsidRPr="000E25C2">
        <w:rPr>
          <w:rFonts w:ascii="Times New Roman" w:hAnsi="Times New Roman" w:cs="Times New Roman"/>
          <w:sz w:val="28"/>
          <w:szCs w:val="28"/>
        </w:rPr>
        <w:t xml:space="preserve">: </w:t>
      </w:r>
      <w:r w:rsidRPr="003553A0">
        <w:rPr>
          <w:rFonts w:ascii="Times New Roman" w:hAnsi="Times New Roman" w:cs="Times New Roman"/>
          <w:sz w:val="28"/>
          <w:szCs w:val="28"/>
        </w:rPr>
        <w:t xml:space="preserve">ВУЗ и </w:t>
      </w:r>
      <w:r w:rsidR="000E25C2">
        <w:rPr>
          <w:rFonts w:ascii="Times New Roman" w:hAnsi="Times New Roman" w:cs="Times New Roman"/>
          <w:sz w:val="28"/>
          <w:szCs w:val="28"/>
        </w:rPr>
        <w:t xml:space="preserve">предприятие. </w:t>
      </w:r>
    </w:p>
    <w:p w14:paraId="4241F7C7" w14:textId="77CB55BF" w:rsidR="003124DA" w:rsidRDefault="003124DA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95D2F" w14:textId="43A082B9" w:rsidR="003553A0" w:rsidRPr="002D22BB" w:rsidRDefault="003553A0" w:rsidP="00955E3E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2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</w:p>
    <w:p w14:paraId="5DD6DFF1" w14:textId="6BD3355C" w:rsidR="003553A0" w:rsidRPr="003553A0" w:rsidRDefault="00500212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53A0" w:rsidRPr="003553A0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3553A0" w:rsidRPr="002E684B">
        <w:rPr>
          <w:rFonts w:ascii="Times New Roman" w:hAnsi="Times New Roman" w:cs="Times New Roman"/>
          <w:sz w:val="28"/>
          <w:szCs w:val="28"/>
        </w:rPr>
        <w:t xml:space="preserve">диссертационных </w:t>
      </w:r>
      <w:r w:rsidR="002E684B" w:rsidRPr="002E684B">
        <w:rPr>
          <w:rFonts w:ascii="Times New Roman" w:hAnsi="Times New Roman" w:cs="Times New Roman"/>
          <w:sz w:val="28"/>
          <w:szCs w:val="28"/>
        </w:rPr>
        <w:t>работ</w:t>
      </w:r>
      <w:r w:rsidR="002E684B">
        <w:rPr>
          <w:rFonts w:ascii="Times New Roman" w:hAnsi="Times New Roman" w:cs="Times New Roman"/>
          <w:sz w:val="28"/>
          <w:szCs w:val="28"/>
        </w:rPr>
        <w:t xml:space="preserve"> </w:t>
      </w:r>
      <w:r w:rsidR="003553A0" w:rsidRPr="003553A0">
        <w:rPr>
          <w:rFonts w:ascii="Times New Roman" w:hAnsi="Times New Roman" w:cs="Times New Roman"/>
          <w:sz w:val="28"/>
          <w:szCs w:val="28"/>
        </w:rPr>
        <w:t xml:space="preserve">и карьерных треков российских выпускников аспирантур в области технических наук показал наличие в российском контексте важнейших элементов, характеризующих программы профессиональной аспирантуры: </w:t>
      </w:r>
    </w:p>
    <w:p w14:paraId="175A02A2" w14:textId="77777777" w:rsidR="003553A0" w:rsidRPr="003553A0" w:rsidRDefault="003553A0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sz w:val="28"/>
          <w:szCs w:val="28"/>
        </w:rPr>
        <w:t></w:t>
      </w:r>
      <w:r w:rsidRPr="003553A0">
        <w:rPr>
          <w:rFonts w:ascii="Times New Roman" w:hAnsi="Times New Roman" w:cs="Times New Roman"/>
          <w:sz w:val="28"/>
          <w:szCs w:val="28"/>
        </w:rPr>
        <w:tab/>
        <w:t xml:space="preserve">значительная доля диссертантов трудоустроена в реальном секторе экономики; </w:t>
      </w:r>
    </w:p>
    <w:p w14:paraId="7323D1C5" w14:textId="27293A1A" w:rsidR="003553A0" w:rsidRPr="003553A0" w:rsidRDefault="003553A0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sz w:val="28"/>
          <w:szCs w:val="28"/>
        </w:rPr>
        <w:t></w:t>
      </w:r>
      <w:r w:rsidRPr="003553A0">
        <w:rPr>
          <w:rFonts w:ascii="Times New Roman" w:hAnsi="Times New Roman" w:cs="Times New Roman"/>
          <w:sz w:val="28"/>
          <w:szCs w:val="28"/>
        </w:rPr>
        <w:tab/>
        <w:t xml:space="preserve">прослеживается связь тематик диссертационных исследований аспирантов с их профессиональной деятельностью и местом работы; </w:t>
      </w:r>
    </w:p>
    <w:p w14:paraId="4033795D" w14:textId="2F9C6801" w:rsidR="003553A0" w:rsidRPr="003553A0" w:rsidRDefault="003553A0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sz w:val="28"/>
          <w:szCs w:val="28"/>
        </w:rPr>
        <w:t></w:t>
      </w:r>
      <w:r w:rsidRPr="003553A0">
        <w:rPr>
          <w:rFonts w:ascii="Times New Roman" w:hAnsi="Times New Roman" w:cs="Times New Roman"/>
          <w:sz w:val="28"/>
          <w:szCs w:val="28"/>
        </w:rPr>
        <w:tab/>
      </w:r>
      <w:r w:rsidR="00500212">
        <w:rPr>
          <w:rFonts w:ascii="Times New Roman" w:hAnsi="Times New Roman" w:cs="Times New Roman"/>
          <w:sz w:val="28"/>
          <w:szCs w:val="28"/>
        </w:rPr>
        <w:t>выявлена</w:t>
      </w:r>
      <w:r w:rsidRPr="003553A0">
        <w:rPr>
          <w:rFonts w:ascii="Times New Roman" w:hAnsi="Times New Roman" w:cs="Times New Roman"/>
          <w:sz w:val="28"/>
          <w:szCs w:val="28"/>
        </w:rPr>
        <w:t xml:space="preserve"> практика совместной подготовки диссертации на базе ВУЗов и предприятий-работодателей. </w:t>
      </w:r>
    </w:p>
    <w:p w14:paraId="11C3B5F0" w14:textId="3C3AAA16" w:rsidR="003553A0" w:rsidRDefault="003553A0" w:rsidP="00955E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92D4A">
        <w:rPr>
          <w:rFonts w:ascii="Times New Roman" w:hAnsi="Times New Roman" w:cs="Times New Roman"/>
          <w:sz w:val="28"/>
          <w:szCs w:val="28"/>
        </w:rPr>
        <w:t>данные</w:t>
      </w:r>
      <w:r w:rsidRPr="003553A0">
        <w:rPr>
          <w:rFonts w:ascii="Times New Roman" w:hAnsi="Times New Roman" w:cs="Times New Roman"/>
          <w:sz w:val="28"/>
          <w:szCs w:val="28"/>
        </w:rPr>
        <w:t xml:space="preserve"> подтверждают </w:t>
      </w:r>
      <w:r w:rsidR="00B92D4A">
        <w:rPr>
          <w:rFonts w:ascii="Times New Roman" w:hAnsi="Times New Roman" w:cs="Times New Roman"/>
          <w:sz w:val="28"/>
          <w:szCs w:val="28"/>
        </w:rPr>
        <w:t xml:space="preserve">востребованность специальных практико-ориентированных аспирантских программ и целесообразность их </w:t>
      </w:r>
      <w:r w:rsidRPr="003553A0">
        <w:rPr>
          <w:rFonts w:ascii="Times New Roman" w:hAnsi="Times New Roman" w:cs="Times New Roman"/>
          <w:sz w:val="28"/>
          <w:szCs w:val="28"/>
        </w:rPr>
        <w:t xml:space="preserve">нормативного закрепления в России. </w:t>
      </w:r>
    </w:p>
    <w:p w14:paraId="3C8338A8" w14:textId="77777777" w:rsidR="008A5509" w:rsidRDefault="008A5509" w:rsidP="00955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680E8" w14:textId="73F0FB01" w:rsidR="000B2DEA" w:rsidRPr="00016CBD" w:rsidRDefault="00B31C28" w:rsidP="00955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="004459A8" w:rsidRPr="00674408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74CC2182" w14:textId="77777777" w:rsidR="00030D67" w:rsidRDefault="00030D67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D3">
        <w:rPr>
          <w:rFonts w:ascii="Times New Roman" w:hAnsi="Times New Roman" w:cs="Times New Roman"/>
          <w:sz w:val="28"/>
          <w:szCs w:val="28"/>
        </w:rPr>
        <w:t>Бедный Б.И. Об индустриальной аспирантуре (комментарий к статье) // Высшее образование в России. 2017. №10 (216). С. 122-124.</w:t>
      </w:r>
    </w:p>
    <w:p w14:paraId="562E6B3E" w14:textId="77777777" w:rsidR="00030D67" w:rsidRPr="00016CBD" w:rsidRDefault="00030D67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CBD">
        <w:rPr>
          <w:rFonts w:ascii="Times New Roman" w:hAnsi="Times New Roman" w:cs="Times New Roman"/>
          <w:sz w:val="28"/>
          <w:szCs w:val="28"/>
        </w:rPr>
        <w:t>Бедный Б.И., Бекова С.К., Рыбаков Н.В., Терентьев Е.А., Ходеева Н.А. Профессиональная аспирантура: мировой опыт и российский контекст // Высшее образование в России. 2021. Т. 30. № 10. С. 9–21. DOI: 10.31992/0869-3617-2021-30-10-9-21</w:t>
      </w:r>
    </w:p>
    <w:p w14:paraId="4DD4FC78" w14:textId="409E3C5C" w:rsidR="00030D67" w:rsidRPr="00016CBD" w:rsidRDefault="00030D67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CBD">
        <w:rPr>
          <w:rFonts w:ascii="Times New Roman" w:hAnsi="Times New Roman" w:cs="Times New Roman"/>
          <w:sz w:val="28"/>
          <w:szCs w:val="28"/>
        </w:rPr>
        <w:t>Бедный Б.И., Рыбаков Н.В., Ходеева Н.А. Практико-ориентированные аспирантские программы и профессиональные степени: анализ зарубежного опыта // Университетское управление: практика и анализ. 2021. Т. 25. № 3. С. 70–81. DOI 10.15826/umpa.2021.03.028.</w:t>
      </w:r>
    </w:p>
    <w:p w14:paraId="7EE6645A" w14:textId="77777777" w:rsidR="00030D67" w:rsidRPr="00536AD3" w:rsidRDefault="00030D67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AD3">
        <w:rPr>
          <w:rFonts w:ascii="Times New Roman" w:hAnsi="Times New Roman" w:cs="Times New Roman"/>
          <w:sz w:val="28"/>
          <w:szCs w:val="28"/>
        </w:rPr>
        <w:t>Рудской</w:t>
      </w:r>
      <w:proofErr w:type="spellEnd"/>
      <w:r w:rsidRPr="00536AD3">
        <w:rPr>
          <w:rFonts w:ascii="Times New Roman" w:hAnsi="Times New Roman" w:cs="Times New Roman"/>
          <w:sz w:val="28"/>
          <w:szCs w:val="28"/>
        </w:rPr>
        <w:t xml:space="preserve"> А.И., Боровков А.И., Романов П.И., Киселева К.Н. «Кандидат инженерии» – учёная степень, востребованная временем // Высшее образование в России. 2017. № 10 (216). С. 109-121. </w:t>
      </w:r>
    </w:p>
    <w:p w14:paraId="67A4CBF3" w14:textId="77777777" w:rsidR="00030D67" w:rsidRPr="00536AD3" w:rsidRDefault="00030D67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D3">
        <w:rPr>
          <w:rFonts w:ascii="Times New Roman" w:hAnsi="Times New Roman" w:cs="Times New Roman"/>
          <w:sz w:val="28"/>
          <w:szCs w:val="28"/>
        </w:rPr>
        <w:lastRenderedPageBreak/>
        <w:t>Тесленко В.А., Мельников Р.М. Перспективы развития индустриальной аспирантуры в России // Высшее образование в России. 2020. Т. 29. № 5. C. 157-167. DOI:</w:t>
      </w:r>
      <w:hyperlink r:id="rId12">
        <w:r w:rsidRPr="00536AD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>
        <w:r w:rsidRPr="00536AD3">
          <w:rPr>
            <w:rFonts w:ascii="Times New Roman" w:hAnsi="Times New Roman" w:cs="Times New Roman"/>
            <w:sz w:val="28"/>
            <w:szCs w:val="28"/>
          </w:rPr>
          <w:t>https://doi.org/10.31992/0869-3617-2020-29-5-157-167</w:t>
        </w:r>
      </w:hyperlink>
      <w:r w:rsidRPr="00536AD3">
        <w:rPr>
          <w:rFonts w:ascii="Times New Roman" w:hAnsi="Times New Roman" w:cs="Times New Roman"/>
          <w:sz w:val="28"/>
          <w:szCs w:val="28"/>
        </w:rPr>
        <w:t>.</w:t>
      </w:r>
    </w:p>
    <w:p w14:paraId="383121D6" w14:textId="3B1A6807" w:rsidR="00030D67" w:rsidRDefault="00030D67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6AA">
        <w:rPr>
          <w:rFonts w:ascii="Times New Roman" w:hAnsi="Times New Roman" w:cs="Times New Roman"/>
          <w:sz w:val="28"/>
          <w:szCs w:val="28"/>
        </w:rPr>
        <w:t xml:space="preserve">Ходеева, Н.А. О практико-ориентированных программах аспирантуры: анализ зарубежного опыта / Н.А. Ходеева // </w:t>
      </w:r>
      <w:proofErr w:type="spellStart"/>
      <w:r w:rsidRPr="00E606AA">
        <w:rPr>
          <w:rFonts w:ascii="Times New Roman" w:hAnsi="Times New Roman" w:cs="Times New Roman"/>
          <w:sz w:val="28"/>
          <w:szCs w:val="28"/>
        </w:rPr>
        <w:t>Universe</w:t>
      </w:r>
      <w:proofErr w:type="spellEnd"/>
      <w:r w:rsidRPr="00E6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6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6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6AA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proofErr w:type="gramStart"/>
      <w:r w:rsidRPr="00E606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06AA">
        <w:rPr>
          <w:rFonts w:ascii="Times New Roman" w:hAnsi="Times New Roman" w:cs="Times New Roman"/>
          <w:sz w:val="28"/>
          <w:szCs w:val="28"/>
        </w:rPr>
        <w:t xml:space="preserve"> Сборник материалов </w:t>
      </w:r>
      <w:proofErr w:type="gramStart"/>
      <w:r w:rsidRPr="00E606AA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E606AA">
        <w:rPr>
          <w:rFonts w:ascii="Times New Roman" w:hAnsi="Times New Roman" w:cs="Times New Roman"/>
          <w:sz w:val="28"/>
          <w:szCs w:val="28"/>
        </w:rPr>
        <w:t xml:space="preserve"> научной интернет-конференции, Екатеринбург, 18 мая 2021 года. – Екатеринбург: Уральский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2021. – С. 318-321.</w:t>
      </w:r>
    </w:p>
    <w:p w14:paraId="788998E8" w14:textId="77777777" w:rsidR="006E06F8" w:rsidRPr="00030D67" w:rsidRDefault="006E06F8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6CBD">
        <w:rPr>
          <w:rFonts w:ascii="Times New Roman" w:hAnsi="Times New Roman" w:cs="Times New Roman"/>
          <w:sz w:val="28"/>
          <w:szCs w:val="28"/>
          <w:lang w:val="en-US"/>
        </w:rPr>
        <w:t>Bourner</w:t>
      </w:r>
      <w:proofErr w:type="spellEnd"/>
      <w:r w:rsidRPr="00016CBD">
        <w:rPr>
          <w:rFonts w:ascii="Times New Roman" w:hAnsi="Times New Roman" w:cs="Times New Roman"/>
          <w:sz w:val="28"/>
          <w:szCs w:val="28"/>
          <w:lang w:val="en-US"/>
        </w:rPr>
        <w:t xml:space="preserve"> T., Bowden R., Laing S. Professional Doctorates in England // Studies in Higher Education. </w:t>
      </w:r>
      <w:r w:rsidRPr="00030D67">
        <w:rPr>
          <w:rFonts w:ascii="Times New Roman" w:hAnsi="Times New Roman" w:cs="Times New Roman"/>
          <w:sz w:val="28"/>
          <w:szCs w:val="28"/>
          <w:lang w:val="en-US"/>
        </w:rPr>
        <w:t xml:space="preserve">2001. Vol. 26, nr 1. </w:t>
      </w:r>
      <w:r w:rsidRPr="00016CBD">
        <w:rPr>
          <w:rFonts w:ascii="Times New Roman" w:hAnsi="Times New Roman" w:cs="Times New Roman"/>
          <w:sz w:val="28"/>
          <w:szCs w:val="28"/>
        </w:rPr>
        <w:t>Р</w:t>
      </w:r>
      <w:r w:rsidRPr="00030D67">
        <w:rPr>
          <w:rFonts w:ascii="Times New Roman" w:hAnsi="Times New Roman" w:cs="Times New Roman"/>
          <w:sz w:val="28"/>
          <w:szCs w:val="28"/>
          <w:lang w:val="en-US"/>
        </w:rPr>
        <w:t>. 65–83. DOI 10.1080/03075070124819.</w:t>
      </w:r>
    </w:p>
    <w:p w14:paraId="51BC0686" w14:textId="77777777" w:rsidR="006E06F8" w:rsidRPr="00016CBD" w:rsidRDefault="006E06F8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6CBD">
        <w:rPr>
          <w:rFonts w:ascii="Times New Roman" w:hAnsi="Times New Roman" w:cs="Times New Roman"/>
          <w:sz w:val="28"/>
          <w:szCs w:val="28"/>
          <w:lang w:val="en-US"/>
        </w:rPr>
        <w:t>Jones M. Contemporary trends in professional doctorates // Studies in Higher Education. 2018. Vol. 43, nr 5. P. 814–825. DOI 10.1080/03075079.2018.1438095.</w:t>
      </w:r>
    </w:p>
    <w:p w14:paraId="35532177" w14:textId="77777777" w:rsidR="006E06F8" w:rsidRPr="00656882" w:rsidRDefault="006E06F8" w:rsidP="00955E3E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6CBD">
        <w:rPr>
          <w:rFonts w:ascii="Times New Roman" w:hAnsi="Times New Roman" w:cs="Times New Roman"/>
          <w:sz w:val="28"/>
          <w:szCs w:val="28"/>
          <w:lang w:val="en-US"/>
        </w:rPr>
        <w:t xml:space="preserve">Neumann R. Doctoral differences: Professional doctorates and PhDs compared // Journal of Higher Education Policy and Management. </w:t>
      </w:r>
      <w:r w:rsidRPr="00656882">
        <w:rPr>
          <w:rFonts w:ascii="Times New Roman" w:hAnsi="Times New Roman" w:cs="Times New Roman"/>
          <w:sz w:val="28"/>
          <w:szCs w:val="28"/>
          <w:lang w:val="en-US"/>
        </w:rPr>
        <w:t>2005. Vol. 27. No. 2.</w:t>
      </w:r>
    </w:p>
    <w:p w14:paraId="7AF35157" w14:textId="34F94763" w:rsidR="007D32FF" w:rsidRDefault="007D32FF" w:rsidP="00955E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346141" w14:textId="68AE6371" w:rsidR="004537DF" w:rsidRPr="00106CF4" w:rsidRDefault="00106CF4" w:rsidP="00955E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4A3BB131" w14:textId="77777777" w:rsidR="004537DF" w:rsidRPr="00106CF4" w:rsidRDefault="004537DF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Bednyi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B.I. (2017). About the “Industrial” Postgraduate Studies (Applied Research).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Vysshee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Rossii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Higher Education in Russia. No. 10, pp. 122-124. (In Russ, abstract in Eng.) </w:t>
      </w:r>
    </w:p>
    <w:p w14:paraId="2DF83948" w14:textId="7F7E9CA0" w:rsidR="004537DF" w:rsidRPr="00106CF4" w:rsidRDefault="006A55F9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Bednyi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B.I.,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Bekova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S.K.,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Rybakov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N.V.,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Terentev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E.A.,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Khodeeva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N.A. (2021). Professional Doctorates: International Experience and Russian Context.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Vysshee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obrazovanie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Rossii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= Higher Education in Russia. Vol. 30, no. 10, pp. 9-21,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r w:rsidRPr="00106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10.31992/0869-3617-2021-30-10-9-21 (In Russ., abstract in Eng.).</w:t>
      </w:r>
    </w:p>
    <w:p w14:paraId="6B446154" w14:textId="77777777" w:rsidR="00106CF4" w:rsidRPr="00106CF4" w:rsidRDefault="00106CF4" w:rsidP="00955E3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CF4">
        <w:rPr>
          <w:rFonts w:ascii="Times New Roman" w:hAnsi="Times New Roman" w:cs="Times New Roman"/>
          <w:sz w:val="28"/>
          <w:szCs w:val="28"/>
          <w:lang w:val="en-US"/>
        </w:rPr>
        <w:t>Bednyi</w:t>
      </w:r>
      <w:proofErr w:type="spellEnd"/>
      <w:r w:rsidRPr="00106CF4">
        <w:rPr>
          <w:rFonts w:ascii="Times New Roman" w:hAnsi="Times New Roman" w:cs="Times New Roman"/>
          <w:sz w:val="28"/>
          <w:szCs w:val="28"/>
          <w:lang w:val="en-US"/>
        </w:rPr>
        <w:t xml:space="preserve"> B. I.,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lang w:val="en-US"/>
        </w:rPr>
        <w:t>Rybakov</w:t>
      </w:r>
      <w:proofErr w:type="spellEnd"/>
      <w:r w:rsidRPr="00106CF4">
        <w:rPr>
          <w:rFonts w:ascii="Times New Roman" w:hAnsi="Times New Roman" w:cs="Times New Roman"/>
          <w:sz w:val="28"/>
          <w:szCs w:val="28"/>
          <w:lang w:val="en-US"/>
        </w:rPr>
        <w:t xml:space="preserve"> N. V.,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lang w:val="en-US"/>
        </w:rPr>
        <w:t>Khodeeva</w:t>
      </w:r>
      <w:proofErr w:type="spellEnd"/>
      <w:r w:rsidRPr="00106CF4">
        <w:rPr>
          <w:rFonts w:ascii="Times New Roman" w:hAnsi="Times New Roman" w:cs="Times New Roman"/>
          <w:sz w:val="28"/>
          <w:szCs w:val="28"/>
          <w:lang w:val="en-US"/>
        </w:rPr>
        <w:t xml:space="preserve"> N. A. Practice-based doctoral programs and professional degrees: analysis of foreign experience. University Management: Practice and Analysis, 2021, Vol. 25, nr. 3, pp. 70–81. </w:t>
      </w:r>
      <w:proofErr w:type="spellStart"/>
      <w:r w:rsidRPr="00106CF4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106CF4">
        <w:rPr>
          <w:rFonts w:ascii="Times New Roman" w:hAnsi="Times New Roman" w:cs="Times New Roman"/>
          <w:sz w:val="28"/>
          <w:szCs w:val="28"/>
          <w:lang w:val="en-US"/>
        </w:rPr>
        <w:t xml:space="preserve"> 10.15826/umpa.2021.03.028. </w:t>
      </w:r>
      <w:r w:rsidRPr="00106C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6CF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0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CF4">
        <w:rPr>
          <w:rFonts w:ascii="Times New Roman" w:hAnsi="Times New Roman" w:cs="Times New Roman"/>
          <w:sz w:val="28"/>
          <w:szCs w:val="28"/>
        </w:rPr>
        <w:t>Russ</w:t>
      </w:r>
      <w:proofErr w:type="spellEnd"/>
      <w:r w:rsidRPr="00106CF4">
        <w:rPr>
          <w:rFonts w:ascii="Times New Roman" w:hAnsi="Times New Roman" w:cs="Times New Roman"/>
          <w:sz w:val="28"/>
          <w:szCs w:val="28"/>
        </w:rPr>
        <w:t>.).</w:t>
      </w:r>
    </w:p>
    <w:p w14:paraId="1CEF4851" w14:textId="77777777" w:rsidR="00106CF4" w:rsidRPr="00106CF4" w:rsidRDefault="00106CF4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Rudskoy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A.I.,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Borovkov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A.I., Romanov P.I.,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Kiseleva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K.N. (2017). [Professional Doctorate: Experience and Prospects].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Vysshee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Rossii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Higher Education in Russia. </w:t>
      </w:r>
      <w:r w:rsidRPr="00106CF4">
        <w:rPr>
          <w:rFonts w:ascii="Times New Roman" w:eastAsia="Times New Roman" w:hAnsi="Times New Roman" w:cs="Times New Roman"/>
          <w:sz w:val="28"/>
          <w:szCs w:val="28"/>
        </w:rPr>
        <w:t xml:space="preserve">No. 10 </w:t>
      </w:r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(216), pp. 109-121. (In Russ., abstract in Eng.) </w:t>
      </w:r>
    </w:p>
    <w:p w14:paraId="43BA0C8D" w14:textId="77777777" w:rsidR="00106CF4" w:rsidRPr="00106CF4" w:rsidRDefault="00106CF4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Teslenko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V.A.,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Melnikov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R.M. (2020). Prospects for Collaborative Industrial Doctoral Education in Russia.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Vysshee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>Rossii</w:t>
      </w:r>
      <w:proofErr w:type="spellEnd"/>
      <w:r w:rsidRPr="00106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Higher Education in Russia. Vol. 29, no. 5, pp. 157-167. (In Russ., abstract in Eng.)</w:t>
      </w:r>
    </w:p>
    <w:p w14:paraId="69CA52B3" w14:textId="62B52BD1" w:rsidR="006A55F9" w:rsidRPr="00106CF4" w:rsidRDefault="006A55F9" w:rsidP="00955E3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Khodeeva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N.A. O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praktiko-orientirovannykh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programmakh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aspirantury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analiz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zarubezhnogo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opyta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B5231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FB5231" w:rsidRPr="00FB52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About practice-oriented </w:t>
      </w:r>
      <w:r w:rsidR="00FB5231">
        <w:rPr>
          <w:rFonts w:ascii="Times New Roman" w:hAnsi="Times New Roman" w:cs="Times New Roman"/>
          <w:bCs/>
          <w:sz w:val="28"/>
          <w:szCs w:val="28"/>
          <w:lang w:val="en-US"/>
        </w:rPr>
        <w:t>doctoral</w:t>
      </w:r>
      <w:r w:rsidR="00FB5231" w:rsidRPr="00FB52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programs: analysis of foreign experience</w:t>
      </w:r>
      <w:r w:rsidR="00FB52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 </w:t>
      </w:r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 N.A.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Khodeeva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Universe of </w:t>
      </w:r>
      <w:proofErr w:type="gram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university :</w:t>
      </w:r>
      <w:proofErr w:type="gram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Sbornik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materialov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Mezhdunarodnoi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nauchnoi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internet-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konferentsii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Ekaterinburg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18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maya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2021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goda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–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Ekaterinburg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Ural'skii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institut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upravleniya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filial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Federal'nogo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gosudarstvennogo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byudzhetnogo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obrazovatel'nogo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uchrezhdeniya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vysshego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obrazovaniya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Rossiiskaya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akademiya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narodnogo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khozyaistva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gosudarstvennoi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sluzhby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pri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Prezidente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Rossiiskoi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Federatsii</w:t>
      </w:r>
      <w:proofErr w:type="spellEnd"/>
      <w:r w:rsidRPr="00106CF4">
        <w:rPr>
          <w:rFonts w:ascii="Times New Roman" w:hAnsi="Times New Roman" w:cs="Times New Roman"/>
          <w:bCs/>
          <w:sz w:val="28"/>
          <w:szCs w:val="28"/>
          <w:lang w:val="en-US"/>
        </w:rPr>
        <w:t>", 2021. – S. 318-321.</w:t>
      </w:r>
    </w:p>
    <w:p w14:paraId="70AF82E0" w14:textId="77777777" w:rsidR="00106CF4" w:rsidRPr="00106CF4" w:rsidRDefault="00106CF4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6CF4">
        <w:rPr>
          <w:rFonts w:ascii="Times New Roman" w:hAnsi="Times New Roman" w:cs="Times New Roman"/>
          <w:sz w:val="28"/>
          <w:szCs w:val="28"/>
          <w:lang w:val="en-US"/>
        </w:rPr>
        <w:t>Bourner</w:t>
      </w:r>
      <w:proofErr w:type="spellEnd"/>
      <w:r w:rsidRPr="00106CF4">
        <w:rPr>
          <w:rFonts w:ascii="Times New Roman" w:hAnsi="Times New Roman" w:cs="Times New Roman"/>
          <w:sz w:val="28"/>
          <w:szCs w:val="28"/>
          <w:lang w:val="en-US"/>
        </w:rPr>
        <w:t xml:space="preserve"> T., Bowden R., Laing S. Professional Doctorates in England // Studies in Higher Education. 2001. Vol. 26, nr 1. </w:t>
      </w:r>
      <w:r w:rsidRPr="00106CF4">
        <w:rPr>
          <w:rFonts w:ascii="Times New Roman" w:hAnsi="Times New Roman" w:cs="Times New Roman"/>
          <w:sz w:val="28"/>
          <w:szCs w:val="28"/>
        </w:rPr>
        <w:t>Р</w:t>
      </w:r>
      <w:r w:rsidRPr="00106CF4">
        <w:rPr>
          <w:rFonts w:ascii="Times New Roman" w:hAnsi="Times New Roman" w:cs="Times New Roman"/>
          <w:sz w:val="28"/>
          <w:szCs w:val="28"/>
          <w:lang w:val="en-US"/>
        </w:rPr>
        <w:t>. 65–83. DOI 10.1080/03075070124819.</w:t>
      </w:r>
    </w:p>
    <w:p w14:paraId="183CD219" w14:textId="77777777" w:rsidR="00106CF4" w:rsidRPr="00106CF4" w:rsidRDefault="00106CF4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CF4">
        <w:rPr>
          <w:rFonts w:ascii="Times New Roman" w:hAnsi="Times New Roman" w:cs="Times New Roman"/>
          <w:sz w:val="28"/>
          <w:szCs w:val="28"/>
          <w:lang w:val="en-US"/>
        </w:rPr>
        <w:t>Jones M. Contemporary trends in professional doctorates // Studies in Higher Education. 2018. Vol. 43, nr 5. P. 814–825. DOI 10.1080/03075079.2018.1438095.</w:t>
      </w:r>
    </w:p>
    <w:p w14:paraId="1C7FDF8A" w14:textId="1D1D0154" w:rsidR="00106CF4" w:rsidRPr="00106CF4" w:rsidRDefault="00106CF4" w:rsidP="00955E3E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CF4">
        <w:rPr>
          <w:rFonts w:ascii="Times New Roman" w:hAnsi="Times New Roman" w:cs="Times New Roman"/>
          <w:sz w:val="28"/>
          <w:szCs w:val="28"/>
          <w:lang w:val="en-US"/>
        </w:rPr>
        <w:t>Neumann R. Doctoral differences: Professional doctorates and PhDs compared // Journal of Higher Education Policy and Management. 2005. Vol. 27. No.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6CF4">
        <w:rPr>
          <w:rFonts w:ascii="Times New Roman" w:hAnsi="Times New Roman" w:cs="Times New Roman"/>
          <w:sz w:val="28"/>
          <w:szCs w:val="28"/>
          <w:lang w:val="en-US"/>
        </w:rPr>
        <w:t>2.</w:t>
      </w:r>
    </w:p>
    <w:sectPr w:rsidR="00106CF4" w:rsidRPr="00106CF4" w:rsidSect="00422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8B648" w14:textId="77777777" w:rsidR="004D36B1" w:rsidRDefault="004D36B1" w:rsidP="00FC3EFF">
      <w:pPr>
        <w:spacing w:after="0" w:line="240" w:lineRule="auto"/>
      </w:pPr>
      <w:r>
        <w:separator/>
      </w:r>
    </w:p>
  </w:endnote>
  <w:endnote w:type="continuationSeparator" w:id="0">
    <w:p w14:paraId="5F3789F2" w14:textId="77777777" w:rsidR="004D36B1" w:rsidRDefault="004D36B1" w:rsidP="00FC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30101" w14:textId="77777777" w:rsidR="004D36B1" w:rsidRDefault="004D36B1" w:rsidP="00FC3EFF">
      <w:pPr>
        <w:spacing w:after="0" w:line="240" w:lineRule="auto"/>
      </w:pPr>
      <w:r>
        <w:separator/>
      </w:r>
    </w:p>
  </w:footnote>
  <w:footnote w:type="continuationSeparator" w:id="0">
    <w:p w14:paraId="6DB4D9DE" w14:textId="77777777" w:rsidR="004D36B1" w:rsidRDefault="004D36B1" w:rsidP="00FC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7C6"/>
    <w:multiLevelType w:val="hybridMultilevel"/>
    <w:tmpl w:val="96F2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D2AC8"/>
    <w:multiLevelType w:val="hybridMultilevel"/>
    <w:tmpl w:val="DF82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4AE"/>
    <w:multiLevelType w:val="hybridMultilevel"/>
    <w:tmpl w:val="6F92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4637B"/>
    <w:multiLevelType w:val="hybridMultilevel"/>
    <w:tmpl w:val="817AA374"/>
    <w:lvl w:ilvl="0" w:tplc="0D524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9E"/>
    <w:rsid w:val="0001209A"/>
    <w:rsid w:val="00012DEB"/>
    <w:rsid w:val="00016CBD"/>
    <w:rsid w:val="00030D67"/>
    <w:rsid w:val="00083051"/>
    <w:rsid w:val="00083495"/>
    <w:rsid w:val="0009725B"/>
    <w:rsid w:val="000B2DEA"/>
    <w:rsid w:val="000C4126"/>
    <w:rsid w:val="000E1C41"/>
    <w:rsid w:val="000E25C2"/>
    <w:rsid w:val="00106CF4"/>
    <w:rsid w:val="00116DC6"/>
    <w:rsid w:val="00117D96"/>
    <w:rsid w:val="001272D4"/>
    <w:rsid w:val="00130611"/>
    <w:rsid w:val="001727F2"/>
    <w:rsid w:val="001D78C8"/>
    <w:rsid w:val="001E7C16"/>
    <w:rsid w:val="00204D39"/>
    <w:rsid w:val="0020562F"/>
    <w:rsid w:val="002138AA"/>
    <w:rsid w:val="002260E8"/>
    <w:rsid w:val="002325E2"/>
    <w:rsid w:val="0023690F"/>
    <w:rsid w:val="00243548"/>
    <w:rsid w:val="00244579"/>
    <w:rsid w:val="00251612"/>
    <w:rsid w:val="00252527"/>
    <w:rsid w:val="00255EE9"/>
    <w:rsid w:val="00256003"/>
    <w:rsid w:val="00273EBB"/>
    <w:rsid w:val="00285852"/>
    <w:rsid w:val="002A3308"/>
    <w:rsid w:val="002D1898"/>
    <w:rsid w:val="002D22BB"/>
    <w:rsid w:val="002E684B"/>
    <w:rsid w:val="003124DA"/>
    <w:rsid w:val="00330981"/>
    <w:rsid w:val="00342706"/>
    <w:rsid w:val="003551A2"/>
    <w:rsid w:val="003553A0"/>
    <w:rsid w:val="0035568E"/>
    <w:rsid w:val="003959B5"/>
    <w:rsid w:val="003967A4"/>
    <w:rsid w:val="003D0248"/>
    <w:rsid w:val="003E3403"/>
    <w:rsid w:val="0040340E"/>
    <w:rsid w:val="0040470B"/>
    <w:rsid w:val="00415D2D"/>
    <w:rsid w:val="00422385"/>
    <w:rsid w:val="0044567A"/>
    <w:rsid w:val="004459A8"/>
    <w:rsid w:val="0045056D"/>
    <w:rsid w:val="0045314A"/>
    <w:rsid w:val="004537DF"/>
    <w:rsid w:val="00463F81"/>
    <w:rsid w:val="00470BD8"/>
    <w:rsid w:val="0047148F"/>
    <w:rsid w:val="004854F1"/>
    <w:rsid w:val="00495671"/>
    <w:rsid w:val="004B07DB"/>
    <w:rsid w:val="004C2371"/>
    <w:rsid w:val="004D36B1"/>
    <w:rsid w:val="00500212"/>
    <w:rsid w:val="00520096"/>
    <w:rsid w:val="005269F1"/>
    <w:rsid w:val="00536AD3"/>
    <w:rsid w:val="00537130"/>
    <w:rsid w:val="005622DE"/>
    <w:rsid w:val="0057709C"/>
    <w:rsid w:val="005B6751"/>
    <w:rsid w:val="005D1B11"/>
    <w:rsid w:val="005E00A6"/>
    <w:rsid w:val="005F1A3F"/>
    <w:rsid w:val="0060578A"/>
    <w:rsid w:val="00621D25"/>
    <w:rsid w:val="00635349"/>
    <w:rsid w:val="00651144"/>
    <w:rsid w:val="006524D8"/>
    <w:rsid w:val="00656882"/>
    <w:rsid w:val="00672025"/>
    <w:rsid w:val="00674408"/>
    <w:rsid w:val="00692CD0"/>
    <w:rsid w:val="006A1DA0"/>
    <w:rsid w:val="006A55F9"/>
    <w:rsid w:val="006A7184"/>
    <w:rsid w:val="006B33A4"/>
    <w:rsid w:val="006B716D"/>
    <w:rsid w:val="006C406F"/>
    <w:rsid w:val="006C7788"/>
    <w:rsid w:val="006D0D48"/>
    <w:rsid w:val="006D2CC0"/>
    <w:rsid w:val="006D74B7"/>
    <w:rsid w:val="006E06F8"/>
    <w:rsid w:val="006E2A24"/>
    <w:rsid w:val="006F6C97"/>
    <w:rsid w:val="007100D7"/>
    <w:rsid w:val="00727FA8"/>
    <w:rsid w:val="00733D38"/>
    <w:rsid w:val="00743F35"/>
    <w:rsid w:val="00745D5B"/>
    <w:rsid w:val="00795512"/>
    <w:rsid w:val="007A2600"/>
    <w:rsid w:val="007A329A"/>
    <w:rsid w:val="007A54D7"/>
    <w:rsid w:val="007A7781"/>
    <w:rsid w:val="007A7B21"/>
    <w:rsid w:val="007C0B74"/>
    <w:rsid w:val="007D24B9"/>
    <w:rsid w:val="007D32FF"/>
    <w:rsid w:val="007F5DCB"/>
    <w:rsid w:val="00807506"/>
    <w:rsid w:val="008146B3"/>
    <w:rsid w:val="00834AB9"/>
    <w:rsid w:val="00837BF6"/>
    <w:rsid w:val="0084541F"/>
    <w:rsid w:val="00854B2D"/>
    <w:rsid w:val="008733E6"/>
    <w:rsid w:val="008917BE"/>
    <w:rsid w:val="00893F6A"/>
    <w:rsid w:val="008A5509"/>
    <w:rsid w:val="008B71D1"/>
    <w:rsid w:val="008B768D"/>
    <w:rsid w:val="008F3005"/>
    <w:rsid w:val="00955E3E"/>
    <w:rsid w:val="009B58FB"/>
    <w:rsid w:val="009C1921"/>
    <w:rsid w:val="009F2465"/>
    <w:rsid w:val="00A31DBC"/>
    <w:rsid w:val="00A3682E"/>
    <w:rsid w:val="00A422C6"/>
    <w:rsid w:val="00A6461C"/>
    <w:rsid w:val="00AD3228"/>
    <w:rsid w:val="00AE03EA"/>
    <w:rsid w:val="00AE590A"/>
    <w:rsid w:val="00AE7D0C"/>
    <w:rsid w:val="00AF1D5F"/>
    <w:rsid w:val="00B02DDE"/>
    <w:rsid w:val="00B1636B"/>
    <w:rsid w:val="00B27011"/>
    <w:rsid w:val="00B31C28"/>
    <w:rsid w:val="00B4115F"/>
    <w:rsid w:val="00B46928"/>
    <w:rsid w:val="00B75794"/>
    <w:rsid w:val="00B875BF"/>
    <w:rsid w:val="00B92D4A"/>
    <w:rsid w:val="00BA2857"/>
    <w:rsid w:val="00BD31DB"/>
    <w:rsid w:val="00BF1184"/>
    <w:rsid w:val="00BF5E01"/>
    <w:rsid w:val="00BF73A2"/>
    <w:rsid w:val="00C14D16"/>
    <w:rsid w:val="00C34D51"/>
    <w:rsid w:val="00C34D83"/>
    <w:rsid w:val="00C3592A"/>
    <w:rsid w:val="00C57D5D"/>
    <w:rsid w:val="00C60A3A"/>
    <w:rsid w:val="00C66AE9"/>
    <w:rsid w:val="00C67A5E"/>
    <w:rsid w:val="00C73756"/>
    <w:rsid w:val="00D00BDB"/>
    <w:rsid w:val="00D04567"/>
    <w:rsid w:val="00D05EAC"/>
    <w:rsid w:val="00D16DEC"/>
    <w:rsid w:val="00D51C9F"/>
    <w:rsid w:val="00D63532"/>
    <w:rsid w:val="00D75A6A"/>
    <w:rsid w:val="00D92A03"/>
    <w:rsid w:val="00DA1DD4"/>
    <w:rsid w:val="00DA674E"/>
    <w:rsid w:val="00DB06B1"/>
    <w:rsid w:val="00DC10F0"/>
    <w:rsid w:val="00DD6844"/>
    <w:rsid w:val="00E26013"/>
    <w:rsid w:val="00E35A71"/>
    <w:rsid w:val="00E55179"/>
    <w:rsid w:val="00E55AA5"/>
    <w:rsid w:val="00E606AA"/>
    <w:rsid w:val="00E65C27"/>
    <w:rsid w:val="00E66E48"/>
    <w:rsid w:val="00E72D82"/>
    <w:rsid w:val="00E802CA"/>
    <w:rsid w:val="00E81A51"/>
    <w:rsid w:val="00E84AA2"/>
    <w:rsid w:val="00E8535A"/>
    <w:rsid w:val="00EB2121"/>
    <w:rsid w:val="00ED0047"/>
    <w:rsid w:val="00EE520D"/>
    <w:rsid w:val="00EF314A"/>
    <w:rsid w:val="00F01DAD"/>
    <w:rsid w:val="00F31036"/>
    <w:rsid w:val="00F4009E"/>
    <w:rsid w:val="00F76C31"/>
    <w:rsid w:val="00F966F6"/>
    <w:rsid w:val="00FA123E"/>
    <w:rsid w:val="00FB3B85"/>
    <w:rsid w:val="00FB5231"/>
    <w:rsid w:val="00FC0A69"/>
    <w:rsid w:val="00FC3EFF"/>
    <w:rsid w:val="00FD6841"/>
    <w:rsid w:val="00FF43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3E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E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3EF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5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6CBD"/>
    <w:pPr>
      <w:ind w:left="720"/>
      <w:contextualSpacing/>
    </w:pPr>
  </w:style>
  <w:style w:type="character" w:customStyle="1" w:styleId="nowrap">
    <w:name w:val="nowrap"/>
    <w:basedOn w:val="a0"/>
    <w:rsid w:val="00656882"/>
  </w:style>
  <w:style w:type="character" w:styleId="a9">
    <w:name w:val="Hyperlink"/>
    <w:basedOn w:val="a0"/>
    <w:uiPriority w:val="99"/>
    <w:unhideWhenUsed/>
    <w:rsid w:val="006568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5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3E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E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3EF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5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6CBD"/>
    <w:pPr>
      <w:ind w:left="720"/>
      <w:contextualSpacing/>
    </w:pPr>
  </w:style>
  <w:style w:type="character" w:customStyle="1" w:styleId="nowrap">
    <w:name w:val="nowrap"/>
    <w:basedOn w:val="a0"/>
    <w:rsid w:val="00656882"/>
  </w:style>
  <w:style w:type="character" w:styleId="a9">
    <w:name w:val="Hyperlink"/>
    <w:basedOn w:val="a0"/>
    <w:uiPriority w:val="99"/>
    <w:unhideWhenUsed/>
    <w:rsid w:val="006568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1992/0869-3617-2020-29-5-157-1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31992/0869-3617-2020-29-5-157-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nadya_hodeeva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%20&#1076;&#1072;&#1085;&#1085;&#1099;&#1077;\&#1088;&#1072;&#1073;&#1086;&#1090;&#1072;%20&#1089;%20&#1073;&#1072;&#1079;&#1086;&#1081;\!!%20%20&#1080;&#1079;%20&#1086;&#1073;&#1083;&#1072;&#1082;&#1072;%2027.03.2022%20%20&#1090;&#1077;&#1093;&#1085;&#1080;&#1095;&#1077;&#1089;&#1082;&#1080;&#1077;%20&#1085;&#1072;&#1091;&#1082;&#1080;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%20&#1076;&#1072;&#1085;&#1085;&#1099;&#1077;\&#1088;&#1072;&#1073;&#1086;&#1090;&#1072;%20&#1089;%20&#1073;&#1072;&#1079;&#1086;&#1081;\!!%20%20&#1080;&#1079;%20&#1086;&#1073;&#1083;&#1072;&#1082;&#1072;%2027.03.2022%20%20&#1090;&#1077;&#1093;&#1085;&#1080;&#1095;&#1077;&#1089;&#1082;&#1080;&#1077;%20&#1085;&#1072;&#1091;&#1082;&#1080;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'описание ядра'!$A$18:$A$23</c:f>
              <c:strCache>
                <c:ptCount val="6"/>
                <c:pt idx="0">
                  <c:v>Прочие коммерческие организации частного сектора</c:v>
                </c:pt>
                <c:pt idx="1">
                  <c:v>Прочие организации и учреждения (органы государственной и муниципальной власти, образовательные учреждения, НКО и другие)</c:v>
                </c:pt>
                <c:pt idx="2">
                  <c:v>Отраслевые государственные исследовательские институты и учреждения</c:v>
                </c:pt>
                <c:pt idx="3">
                  <c:v>Институты РАН</c:v>
                </c:pt>
                <c:pt idx="4">
                  <c:v>Организации частного сектора экономики в сфере НИОКР, инженерных и технологических разработок</c:v>
                </c:pt>
                <c:pt idx="5">
                  <c:v>ВУЗы</c:v>
                </c:pt>
              </c:strCache>
            </c:strRef>
          </c:cat>
          <c:val>
            <c:numRef>
              <c:f>'описание ядра'!$C$18:$C$23</c:f>
              <c:numCache>
                <c:formatCode>0%</c:formatCode>
                <c:ptCount val="6"/>
                <c:pt idx="0">
                  <c:v>3.2167832167832165E-2</c:v>
                </c:pt>
                <c:pt idx="1">
                  <c:v>4.195804195804196E-2</c:v>
                </c:pt>
                <c:pt idx="2">
                  <c:v>5.0349650349650353E-2</c:v>
                </c:pt>
                <c:pt idx="3">
                  <c:v>6.9930069930069935E-2</c:v>
                </c:pt>
                <c:pt idx="4">
                  <c:v>0.25174825174825177</c:v>
                </c:pt>
                <c:pt idx="5">
                  <c:v>0.55384615384615388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B5-4CE7-A129-C82D55374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6990080"/>
        <c:axId val="157136000"/>
      </c:barChart>
      <c:catAx>
        <c:axId val="15699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136000"/>
        <c:crosses val="autoZero"/>
        <c:auto val="1"/>
        <c:lblAlgn val="ctr"/>
        <c:lblOffset val="100"/>
        <c:noMultiLvlLbl val="0"/>
      </c:catAx>
      <c:valAx>
        <c:axId val="15713600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5699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3966342442488806E-2"/>
          <c:w val="0.59611266427347132"/>
          <c:h val="0.93206731511502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Лист8!$D$46</c:f>
              <c:strCache>
                <c:ptCount val="1"/>
                <c:pt idx="0">
                  <c:v>Электроника, радиотехника и приборостроение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2253579580825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Лист8!$G$46</c:f>
              <c:numCache>
                <c:formatCode>0.0%</c:formatCode>
                <c:ptCount val="1"/>
                <c:pt idx="0">
                  <c:v>0.35135135135135137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59-4431-BCCE-EC22095186D2}"/>
            </c:ext>
          </c:extLst>
        </c:ser>
        <c:ser>
          <c:idx val="1"/>
          <c:order val="1"/>
          <c:tx>
            <c:strRef>
              <c:f>Лист8!$D$47</c:f>
              <c:strCache>
                <c:ptCount val="1"/>
                <c:pt idx="0">
                  <c:v>Науки о земле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253579580825898E-3"/>
                  <c:y val="-1.31363725620154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Лист8!$G$47</c:f>
              <c:numCache>
                <c:formatCode>0.0%</c:formatCode>
                <c:ptCount val="1"/>
                <c:pt idx="0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59-4431-BCCE-EC22095186D2}"/>
            </c:ext>
          </c:extLst>
        </c:ser>
        <c:ser>
          <c:idx val="2"/>
          <c:order val="2"/>
          <c:tx>
            <c:strRef>
              <c:f>Лист8!$D$48</c:f>
              <c:strCache>
                <c:ptCount val="1"/>
                <c:pt idx="0">
                  <c:v>Машиностроительные специальности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525835235526023E-2"/>
                  <c:y val="5.73230151905990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Лист8!$G$48</c:f>
              <c:numCache>
                <c:formatCode>0.0%</c:formatCode>
                <c:ptCount val="1"/>
                <c:pt idx="0">
                  <c:v>0.34920634920634919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59-4431-BCCE-EC22095186D2}"/>
            </c:ext>
          </c:extLst>
        </c:ser>
        <c:ser>
          <c:idx val="3"/>
          <c:order val="3"/>
          <c:tx>
            <c:strRef>
              <c:f>Лист8!$D$49</c:f>
              <c:strCache>
                <c:ptCount val="1"/>
                <c:pt idx="0">
                  <c:v>Авиационная и ракетно-космическая техника, кораблестроение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02170735375471E-17"/>
                  <c:y val="-8.59845227858985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Лист8!$G$49</c:f>
              <c:numCache>
                <c:formatCode>0.0%</c:formatCode>
                <c:ptCount val="1"/>
                <c:pt idx="0">
                  <c:v>0.26923076923076922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A59-4431-BCCE-EC22095186D2}"/>
            </c:ext>
          </c:extLst>
        </c:ser>
        <c:ser>
          <c:idx val="4"/>
          <c:order val="4"/>
          <c:tx>
            <c:strRef>
              <c:f>Лист8!$D$50</c:f>
              <c:strCache>
                <c:ptCount val="1"/>
                <c:pt idx="0">
                  <c:v>Металлургия и энергетика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253579580825516E-3"/>
                  <c:y val="2.866150759529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Лист8!$G$50</c:f>
              <c:numCache>
                <c:formatCode>0.0%</c:formatCode>
                <c:ptCount val="1"/>
                <c:pt idx="0">
                  <c:v>0.26666666666666666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A59-4431-BCCE-EC22095186D2}"/>
            </c:ext>
          </c:extLst>
        </c:ser>
        <c:ser>
          <c:idx val="5"/>
          <c:order val="5"/>
          <c:tx>
            <c:strRef>
              <c:f>Лист8!$D$51</c:f>
              <c:strCache>
                <c:ptCount val="1"/>
                <c:pt idx="0">
                  <c:v>Транспорт, строительство, архитектура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004772774434524E-3"/>
                  <c:y val="2.866150759529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Лист8!$G$51</c:f>
              <c:numCache>
                <c:formatCode>0.0%</c:formatCode>
                <c:ptCount val="1"/>
                <c:pt idx="0">
                  <c:v>0.25806451612903225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59-4431-BCCE-EC22095186D2}"/>
            </c:ext>
          </c:extLst>
        </c:ser>
        <c:ser>
          <c:idx val="6"/>
          <c:order val="6"/>
          <c:tx>
            <c:strRef>
              <c:f>Лист8!$D$52</c:f>
              <c:strCache>
                <c:ptCount val="1"/>
                <c:pt idx="0">
                  <c:v>Физико-математические специальности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525835235526042E-2"/>
                  <c:y val="5.73230151905990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59-4431-BCCE-EC2209518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Лист8!$G$52</c:f>
              <c:numCache>
                <c:formatCode>0.0%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A59-4431-BCCE-EC22095186D2}"/>
            </c:ext>
          </c:extLst>
        </c:ser>
        <c:ser>
          <c:idx val="7"/>
          <c:order val="7"/>
          <c:tx>
            <c:strRef>
              <c:f>Лист8!$D$53</c:f>
              <c:strCache>
                <c:ptCount val="1"/>
                <c:pt idx="0">
                  <c:v>Сельскохозяйственные специальности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Лист8!$G$53</c:f>
              <c:numCache>
                <c:formatCode>0.0%</c:formatCode>
                <c:ptCount val="1"/>
                <c:pt idx="0">
                  <c:v>0.22857142857142856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A59-4431-BCCE-EC22095186D2}"/>
            </c:ext>
          </c:extLst>
        </c:ser>
        <c:ser>
          <c:idx val="8"/>
          <c:order val="8"/>
          <c:tx>
            <c:strRef>
              <c:f>Лист8!$D$54</c:f>
              <c:strCache>
                <c:ptCount val="1"/>
                <c:pt idx="0">
                  <c:v>Химические и биологические специальности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Лист8!$G$54</c:f>
              <c:numCache>
                <c:formatCode>0.0%</c:formatCode>
                <c:ptCount val="1"/>
                <c:pt idx="0">
                  <c:v>0.18518518518518517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A59-4431-BCCE-EC22095186D2}"/>
            </c:ext>
          </c:extLst>
        </c:ser>
        <c:ser>
          <c:idx val="9"/>
          <c:order val="9"/>
          <c:tx>
            <c:strRef>
              <c:f>Лист8!$D$55</c:f>
              <c:strCache>
                <c:ptCount val="1"/>
                <c:pt idx="0">
                  <c:v>Информатика, вычислительная техника и управление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Лист8!$G$55</c:f>
              <c:numCache>
                <c:formatCode>0.0%</c:formatCode>
                <c:ptCount val="1"/>
                <c:pt idx="0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A59-4431-BCCE-EC22095186D2}"/>
            </c:ext>
          </c:extLst>
        </c:ser>
        <c:ser>
          <c:idx val="10"/>
          <c:order val="10"/>
          <c:tx>
            <c:strRef>
              <c:f>Лист8!$D$56</c:f>
              <c:strCache>
                <c:ptCount val="1"/>
                <c:pt idx="0">
                  <c:v>Технологии продовольственных продуктов, изделий легкой промышленности, лесного хозяйства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Лист8!$G$56</c:f>
              <c:numCache>
                <c:formatCode>0.0%</c:formatCode>
                <c:ptCount val="1"/>
                <c:pt idx="0">
                  <c:v>0.13559322033898305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A59-4431-BCCE-EC22095186D2}"/>
            </c:ext>
          </c:extLst>
        </c:ser>
        <c:ser>
          <c:idx val="11"/>
          <c:order val="11"/>
          <c:tx>
            <c:strRef>
              <c:f>Лист8!$D$57</c:f>
              <c:strCache>
                <c:ptCount val="1"/>
                <c:pt idx="0">
                  <c:v>Безопасность деятельности человека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Лист8!$G$57</c:f>
              <c:numCache>
                <c:formatCode>0.0%</c:formatCode>
                <c:ptCount val="1"/>
                <c:pt idx="0">
                  <c:v>9.0909090909090912E-2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59-4431-BCCE-EC22095186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656704"/>
        <c:axId val="175036288"/>
      </c:barChart>
      <c:catAx>
        <c:axId val="173656704"/>
        <c:scaling>
          <c:orientation val="minMax"/>
        </c:scaling>
        <c:delete val="1"/>
        <c:axPos val="b"/>
        <c:majorTickMark val="none"/>
        <c:minorTickMark val="none"/>
        <c:tickLblPos val="nextTo"/>
        <c:crossAx val="175036288"/>
        <c:crosses val="autoZero"/>
        <c:auto val="1"/>
        <c:lblAlgn val="ctr"/>
        <c:lblOffset val="100"/>
        <c:noMultiLvlLbl val="0"/>
      </c:catAx>
      <c:valAx>
        <c:axId val="17503628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7365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366194835730623"/>
          <c:y val="0"/>
          <c:w val="0.40388733572652868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EECF-AA42-4DA4-8F71-B7ACBFD9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1747</Words>
  <Characters>12621</Characters>
  <Application>Microsoft Office Word</Application>
  <DocSecurity>0</DocSecurity>
  <Lines>242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 N</dc:creator>
  <cp:keywords/>
  <dc:description/>
  <cp:lastModifiedBy>Преподаватель</cp:lastModifiedBy>
  <cp:revision>26</cp:revision>
  <dcterms:created xsi:type="dcterms:W3CDTF">2022-04-07T21:17:00Z</dcterms:created>
  <dcterms:modified xsi:type="dcterms:W3CDTF">2022-04-08T10:25:00Z</dcterms:modified>
</cp:coreProperties>
</file>