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0B3AC" w14:textId="77777777" w:rsidR="008F3F58" w:rsidRPr="00E92D40" w:rsidRDefault="00F65618" w:rsidP="00A401B5">
      <w:pPr>
        <w:spacing w:line="240" w:lineRule="auto"/>
        <w:jc w:val="right"/>
        <w:rPr>
          <w:rFonts w:eastAsia="Calibri" w:cs="Times New Roman"/>
          <w:szCs w:val="24"/>
        </w:rPr>
      </w:pPr>
      <w:r w:rsidRPr="00E92D40">
        <w:rPr>
          <w:rFonts w:eastAsia="Calibri" w:cs="Times New Roman"/>
          <w:szCs w:val="24"/>
        </w:rPr>
        <w:t>Конференция</w:t>
      </w:r>
      <w:r w:rsidR="008F3F58" w:rsidRPr="00E92D40">
        <w:rPr>
          <w:rFonts w:eastAsia="Calibri" w:cs="Times New Roman"/>
          <w:szCs w:val="24"/>
        </w:rPr>
        <w:t xml:space="preserve"> «Образование в условиях стремительно меняющегося мира»</w:t>
      </w:r>
      <w:r w:rsidRPr="00E92D40">
        <w:rPr>
          <w:rFonts w:eastAsia="Calibri" w:cs="Times New Roman"/>
          <w:szCs w:val="24"/>
        </w:rPr>
        <w:t xml:space="preserve"> 20.04.22г.</w:t>
      </w:r>
    </w:p>
    <w:p w14:paraId="59598F58" w14:textId="77777777" w:rsidR="008F3F58" w:rsidRPr="00E92D40" w:rsidRDefault="00F65618" w:rsidP="00A401B5">
      <w:pPr>
        <w:spacing w:line="240" w:lineRule="auto"/>
        <w:jc w:val="right"/>
        <w:rPr>
          <w:rFonts w:eastAsia="Calibri" w:cs="Times New Roman"/>
          <w:szCs w:val="24"/>
        </w:rPr>
      </w:pPr>
      <w:r w:rsidRPr="00E92D40">
        <w:rPr>
          <w:rFonts w:eastAsia="Calibri" w:cs="Times New Roman"/>
          <w:szCs w:val="24"/>
        </w:rPr>
        <w:t>по</w:t>
      </w:r>
      <w:r w:rsidR="008F3F58" w:rsidRPr="00E92D40">
        <w:rPr>
          <w:rFonts w:eastAsia="Calibri" w:cs="Times New Roman"/>
          <w:szCs w:val="24"/>
        </w:rPr>
        <w:t xml:space="preserve"> тематике «Трансформация образовательного пространства в современных условиях»</w:t>
      </w:r>
    </w:p>
    <w:p w14:paraId="5BDD1635" w14:textId="77777777" w:rsidR="0053731A" w:rsidRPr="00E92D40" w:rsidRDefault="0053731A" w:rsidP="005373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Cs w:val="24"/>
        </w:rPr>
      </w:pPr>
    </w:p>
    <w:p w14:paraId="4BA9D707" w14:textId="77777777" w:rsidR="0053731A" w:rsidRPr="00A401B5" w:rsidRDefault="0053731A" w:rsidP="0053731A">
      <w:pPr>
        <w:jc w:val="right"/>
        <w:rPr>
          <w:sz w:val="28"/>
          <w:szCs w:val="28"/>
        </w:rPr>
      </w:pPr>
      <w:r w:rsidRPr="00A401B5">
        <w:rPr>
          <w:rFonts w:cs="Times New Roman"/>
          <w:sz w:val="28"/>
          <w:szCs w:val="28"/>
        </w:rPr>
        <w:t xml:space="preserve">Шматко Алексей Дмитриевич доктор экономических наук, профессор, профессор РАО, </w:t>
      </w:r>
      <w:r w:rsidRPr="00A401B5">
        <w:rPr>
          <w:sz w:val="28"/>
          <w:szCs w:val="28"/>
        </w:rPr>
        <w:t>Почетный работник науки и высоких технологий РФ</w:t>
      </w:r>
    </w:p>
    <w:p w14:paraId="4DAB1756" w14:textId="77777777" w:rsidR="0053731A" w:rsidRPr="00A401B5" w:rsidRDefault="0053731A" w:rsidP="0053731A">
      <w:pPr>
        <w:jc w:val="right"/>
        <w:rPr>
          <w:rFonts w:cs="Times New Roman"/>
          <w:sz w:val="28"/>
          <w:szCs w:val="28"/>
        </w:rPr>
      </w:pPr>
      <w:bookmarkStart w:id="0" w:name="_GoBack"/>
      <w:bookmarkEnd w:id="0"/>
      <w:r w:rsidRPr="00A401B5">
        <w:rPr>
          <w:rFonts w:cs="Times New Roman"/>
          <w:sz w:val="28"/>
          <w:szCs w:val="28"/>
        </w:rPr>
        <w:t xml:space="preserve"> директор ИПРЭ РАН</w:t>
      </w:r>
    </w:p>
    <w:p w14:paraId="37AB1862" w14:textId="77777777" w:rsidR="0053731A" w:rsidRPr="00E92D40" w:rsidRDefault="0053731A" w:rsidP="008F3F58">
      <w:pPr>
        <w:jc w:val="right"/>
        <w:rPr>
          <w:rFonts w:eastAsia="Calibri" w:cs="Times New Roman"/>
          <w:szCs w:val="24"/>
        </w:rPr>
      </w:pPr>
    </w:p>
    <w:p w14:paraId="39D32EC9" w14:textId="77777777" w:rsidR="0053731A" w:rsidRPr="00E92D40" w:rsidRDefault="0053731A" w:rsidP="008F3F58">
      <w:pPr>
        <w:jc w:val="right"/>
        <w:rPr>
          <w:rFonts w:eastAsia="Calibri" w:cs="Times New Roman"/>
          <w:szCs w:val="24"/>
        </w:rPr>
      </w:pPr>
    </w:p>
    <w:p w14:paraId="75B69DEC" w14:textId="77777777" w:rsidR="0053731A" w:rsidRPr="00E92D40" w:rsidRDefault="0053731A" w:rsidP="008F3F58">
      <w:pPr>
        <w:jc w:val="right"/>
        <w:rPr>
          <w:rFonts w:eastAsia="Calibri" w:cs="Times New Roman"/>
          <w:szCs w:val="24"/>
        </w:rPr>
      </w:pPr>
    </w:p>
    <w:p w14:paraId="79D55CD1" w14:textId="77777777" w:rsidR="008F3F58" w:rsidRPr="00A401B5" w:rsidRDefault="00447862" w:rsidP="00447862">
      <w:pPr>
        <w:jc w:val="center"/>
        <w:rPr>
          <w:rFonts w:eastAsia="Calibri" w:cs="Times New Roman"/>
          <w:sz w:val="28"/>
          <w:szCs w:val="28"/>
        </w:rPr>
      </w:pPr>
      <w:r w:rsidRPr="00A401B5">
        <w:rPr>
          <w:rFonts w:eastAsia="Calibri" w:cs="Times New Roman"/>
          <w:sz w:val="28"/>
          <w:szCs w:val="28"/>
        </w:rPr>
        <w:t>Вызовы  цифровой трансформации образовательного пространства в современных условиях</w:t>
      </w:r>
    </w:p>
    <w:p w14:paraId="0956C852" w14:textId="77777777" w:rsidR="00B73AD0" w:rsidRPr="00A401B5" w:rsidRDefault="00B73AD0" w:rsidP="008F3F58">
      <w:pPr>
        <w:jc w:val="both"/>
        <w:rPr>
          <w:rFonts w:eastAsia="Calibri" w:cs="Times New Roman"/>
          <w:sz w:val="28"/>
          <w:szCs w:val="28"/>
        </w:rPr>
      </w:pPr>
    </w:p>
    <w:p w14:paraId="614FB825" w14:textId="77777777" w:rsidR="00B73AD0" w:rsidRPr="00A401B5" w:rsidRDefault="00B73AD0" w:rsidP="00325C5D">
      <w:pPr>
        <w:jc w:val="both"/>
        <w:rPr>
          <w:rFonts w:eastAsia="Calibri" w:cs="Times New Roman"/>
          <w:sz w:val="28"/>
          <w:szCs w:val="28"/>
        </w:rPr>
      </w:pPr>
      <w:r w:rsidRPr="00A401B5">
        <w:rPr>
          <w:rFonts w:eastAsia="Calibri" w:cs="Times New Roman"/>
          <w:sz w:val="28"/>
          <w:szCs w:val="28"/>
        </w:rPr>
        <w:t>Аннотация.  В статье анализируются вызовы</w:t>
      </w:r>
      <w:r w:rsidR="00325C5D" w:rsidRPr="00A401B5">
        <w:rPr>
          <w:rFonts w:eastAsia="Calibri" w:cs="Times New Roman"/>
          <w:sz w:val="28"/>
          <w:szCs w:val="28"/>
        </w:rPr>
        <w:t xml:space="preserve"> для современной образовательной системы, </w:t>
      </w:r>
      <w:r w:rsidRPr="00A401B5">
        <w:rPr>
          <w:rFonts w:eastAsia="Calibri" w:cs="Times New Roman"/>
          <w:sz w:val="28"/>
          <w:szCs w:val="28"/>
        </w:rPr>
        <w:t xml:space="preserve"> </w:t>
      </w:r>
      <w:r w:rsidR="00E92D40" w:rsidRPr="00A401B5">
        <w:rPr>
          <w:rFonts w:eastAsia="Times New Roman" w:cs="Times New Roman"/>
          <w:sz w:val="28"/>
          <w:szCs w:val="28"/>
          <w:lang w:eastAsia="ru-RU"/>
        </w:rPr>
        <w:t xml:space="preserve">спровоцированные  пандемией COVID-19  и </w:t>
      </w:r>
      <w:r w:rsidR="00325C5D" w:rsidRPr="00A401B5">
        <w:rPr>
          <w:rFonts w:eastAsia="Calibri" w:cs="Times New Roman"/>
          <w:sz w:val="28"/>
          <w:szCs w:val="28"/>
        </w:rPr>
        <w:t>мировыми кризисными явлениями</w:t>
      </w:r>
      <w:r w:rsidR="00E92D40" w:rsidRPr="00A401B5">
        <w:rPr>
          <w:rFonts w:eastAsia="Calibri" w:cs="Times New Roman"/>
          <w:sz w:val="28"/>
          <w:szCs w:val="28"/>
        </w:rPr>
        <w:t xml:space="preserve"> во взаимосвязи с </w:t>
      </w:r>
      <w:r w:rsidRPr="00A401B5">
        <w:rPr>
          <w:rFonts w:eastAsia="Calibri" w:cs="Times New Roman"/>
          <w:sz w:val="28"/>
          <w:szCs w:val="28"/>
        </w:rPr>
        <w:t>цифровой трансформации высшего образования</w:t>
      </w:r>
      <w:r w:rsidR="00E92D40" w:rsidRPr="00A401B5">
        <w:rPr>
          <w:rFonts w:eastAsia="Calibri" w:cs="Times New Roman"/>
          <w:sz w:val="28"/>
          <w:szCs w:val="28"/>
        </w:rPr>
        <w:t xml:space="preserve">. Указываются направления реагирования на указанные вызовы. </w:t>
      </w:r>
      <w:r w:rsidR="00325C5D" w:rsidRPr="00A401B5">
        <w:rPr>
          <w:rFonts w:eastAsia="Calibri" w:cs="Times New Roman"/>
          <w:sz w:val="28"/>
          <w:szCs w:val="28"/>
        </w:rPr>
        <w:t xml:space="preserve">Анализируются результаты статистического опроса обучающихся и профессорско-преподавательского состава. </w:t>
      </w:r>
      <w:r w:rsidRPr="00A401B5">
        <w:rPr>
          <w:rFonts w:eastAsia="Calibri" w:cs="Times New Roman"/>
          <w:sz w:val="28"/>
          <w:szCs w:val="28"/>
        </w:rPr>
        <w:t xml:space="preserve">Приводятся практические </w:t>
      </w:r>
      <w:r w:rsidR="00325C5D" w:rsidRPr="00A401B5">
        <w:rPr>
          <w:rFonts w:eastAsia="Calibri" w:cs="Times New Roman"/>
          <w:sz w:val="28"/>
          <w:szCs w:val="28"/>
        </w:rPr>
        <w:t xml:space="preserve">авторские кейсы в области </w:t>
      </w:r>
      <w:r w:rsidRPr="00A401B5">
        <w:rPr>
          <w:rFonts w:eastAsia="Calibri" w:cs="Times New Roman"/>
          <w:sz w:val="28"/>
          <w:szCs w:val="28"/>
        </w:rPr>
        <w:t xml:space="preserve"> цифровой трансформаци</w:t>
      </w:r>
      <w:r w:rsidR="00325C5D" w:rsidRPr="00A401B5">
        <w:rPr>
          <w:rFonts w:eastAsia="Calibri" w:cs="Times New Roman"/>
          <w:sz w:val="28"/>
          <w:szCs w:val="28"/>
        </w:rPr>
        <w:t xml:space="preserve">и образовательного пространства: практический опыт сетевого взаимодействия ФГБОУ ВО «Тульский государственный педагогический университет им. Л.Н. Толстого» и  ФГБОУ ВО «Балтийский государственный технический университет «ВОЕНМЕХ» им. Д.Ф. Устинова», опыт апробации методик  развития цифровой образовательной среды в сборнике Исследование проблем и тенденций развития высшего образования в современной России: сборник научных трудов / авт.-сост. Г. А. </w:t>
      </w:r>
      <w:proofErr w:type="spellStart"/>
      <w:r w:rsidR="00325C5D" w:rsidRPr="00A401B5">
        <w:rPr>
          <w:rFonts w:eastAsia="Calibri" w:cs="Times New Roman"/>
          <w:sz w:val="28"/>
          <w:szCs w:val="28"/>
        </w:rPr>
        <w:t>Бордовский</w:t>
      </w:r>
      <w:proofErr w:type="spellEnd"/>
      <w:r w:rsidR="00325C5D" w:rsidRPr="00A401B5">
        <w:rPr>
          <w:rFonts w:eastAsia="Calibri" w:cs="Times New Roman"/>
          <w:sz w:val="28"/>
          <w:szCs w:val="28"/>
        </w:rPr>
        <w:t>, А. Д. Шматко. — СПб.:</w:t>
      </w:r>
      <w:r w:rsidR="007F6093" w:rsidRPr="00A401B5">
        <w:rPr>
          <w:rFonts w:eastAsia="Calibri" w:cs="Times New Roman"/>
          <w:sz w:val="28"/>
          <w:szCs w:val="28"/>
        </w:rPr>
        <w:t xml:space="preserve"> ИПЦ СЗИУ РАНХиГС, 2021., изданном под эгидой Российской академии образования.</w:t>
      </w:r>
    </w:p>
    <w:p w14:paraId="4A5852C9" w14:textId="77777777" w:rsidR="00B73AD0" w:rsidRPr="00A401B5" w:rsidRDefault="00B73AD0" w:rsidP="008F3F58">
      <w:pPr>
        <w:jc w:val="both"/>
        <w:rPr>
          <w:rFonts w:eastAsia="Calibri" w:cs="Times New Roman"/>
          <w:sz w:val="28"/>
          <w:szCs w:val="28"/>
        </w:rPr>
      </w:pPr>
      <w:r w:rsidRPr="00A401B5">
        <w:rPr>
          <w:rFonts w:eastAsia="Calibri" w:cs="Times New Roman"/>
          <w:sz w:val="28"/>
          <w:szCs w:val="28"/>
        </w:rPr>
        <w:t xml:space="preserve">Ключевые слова. Цифровизация, цифровая трансформация, высшее образование, </w:t>
      </w:r>
      <w:r w:rsidR="00E92D40" w:rsidRPr="00A401B5">
        <w:rPr>
          <w:rFonts w:eastAsia="Calibri" w:cs="Times New Roman"/>
          <w:sz w:val="28"/>
          <w:szCs w:val="28"/>
        </w:rPr>
        <w:t xml:space="preserve">образовательное пространство, </w:t>
      </w:r>
    </w:p>
    <w:p w14:paraId="396CBFB6" w14:textId="2E719E37" w:rsidR="00B73AD0" w:rsidRPr="00A401B5" w:rsidRDefault="001742A3" w:rsidP="008F3F58">
      <w:pPr>
        <w:jc w:val="both"/>
        <w:rPr>
          <w:rFonts w:eastAsia="Calibri" w:cs="Times New Roman"/>
          <w:sz w:val="28"/>
          <w:szCs w:val="28"/>
        </w:rPr>
      </w:pPr>
      <w:r w:rsidRPr="00A401B5">
        <w:rPr>
          <w:rFonts w:eastAsia="Calibri" w:cs="Times New Roman"/>
          <w:sz w:val="28"/>
          <w:szCs w:val="28"/>
        </w:rPr>
        <w:lastRenderedPageBreak/>
        <w:t>Концепция модернизации образования в Российской Федерации устремляет высшую школу к воспитанию своих студентов как полноправных граждан демократической страны, имеющих способность к решению личных, а также социальных проблем в окружающего их мире и стремительно развивающегося общества. [</w:t>
      </w:r>
      <w:r w:rsidR="00E92D40" w:rsidRPr="00A401B5">
        <w:rPr>
          <w:rFonts w:eastAsia="Calibri" w:cs="Times New Roman"/>
          <w:sz w:val="28"/>
          <w:szCs w:val="28"/>
        </w:rPr>
        <w:t>1</w:t>
      </w:r>
      <w:r w:rsidRPr="00A401B5">
        <w:rPr>
          <w:rFonts w:eastAsia="Calibri" w:cs="Times New Roman"/>
          <w:sz w:val="28"/>
          <w:szCs w:val="28"/>
        </w:rPr>
        <w:t xml:space="preserve">]. </w:t>
      </w:r>
      <w:r w:rsidR="00791837" w:rsidRPr="00A401B5">
        <w:rPr>
          <w:rFonts w:eastAsia="Calibri" w:cs="Times New Roman"/>
          <w:sz w:val="28"/>
          <w:szCs w:val="28"/>
        </w:rPr>
        <w:t>Развитие цивилизации</w:t>
      </w:r>
      <w:r w:rsidRPr="00A401B5">
        <w:rPr>
          <w:rFonts w:eastAsia="Calibri" w:cs="Times New Roman"/>
          <w:sz w:val="28"/>
          <w:szCs w:val="28"/>
        </w:rPr>
        <w:t xml:space="preserve"> опирается на систему образования, которая должна опережать сиюминутные потребности экономики и общества. Представленный [</w:t>
      </w:r>
      <w:r w:rsidR="00E92D40" w:rsidRPr="00A401B5">
        <w:rPr>
          <w:rFonts w:eastAsia="Calibri" w:cs="Times New Roman"/>
          <w:sz w:val="28"/>
          <w:szCs w:val="28"/>
        </w:rPr>
        <w:t>2</w:t>
      </w:r>
      <w:r w:rsidRPr="00A401B5">
        <w:rPr>
          <w:rFonts w:eastAsia="Calibri" w:cs="Times New Roman"/>
          <w:sz w:val="28"/>
          <w:szCs w:val="28"/>
        </w:rPr>
        <w:t xml:space="preserve">]  анализ того, насколько этот тезис подтверждается практикой реформирования российского образования за последние 20–30 лет показал, что в России отсутствует ясно выраженная направленность изменений в системе образования на преодоление нарастающих вызовов – перехода развитых стран к высокотехнологичной экономике и нарастающей глобальной всеобъемлющей конкуренции между странами. Академик </w:t>
      </w:r>
      <w:proofErr w:type="spellStart"/>
      <w:r w:rsidRPr="00A401B5">
        <w:rPr>
          <w:rFonts w:eastAsia="Calibri" w:cs="Times New Roman"/>
          <w:sz w:val="28"/>
          <w:szCs w:val="28"/>
        </w:rPr>
        <w:t>Бордовский</w:t>
      </w:r>
      <w:proofErr w:type="spellEnd"/>
      <w:r w:rsidRPr="00A401B5">
        <w:rPr>
          <w:rFonts w:eastAsia="Calibri" w:cs="Times New Roman"/>
          <w:sz w:val="28"/>
          <w:szCs w:val="28"/>
        </w:rPr>
        <w:t xml:space="preserve"> Г.А. указывает, что причиной </w:t>
      </w:r>
      <w:r w:rsidR="00791837" w:rsidRPr="00A401B5">
        <w:rPr>
          <w:rFonts w:eastAsia="Calibri" w:cs="Times New Roman"/>
          <w:sz w:val="28"/>
          <w:szCs w:val="28"/>
        </w:rPr>
        <w:t>этому является</w:t>
      </w:r>
      <w:r w:rsidRPr="00A401B5">
        <w:rPr>
          <w:rFonts w:eastAsia="Calibri" w:cs="Times New Roman"/>
          <w:sz w:val="28"/>
          <w:szCs w:val="28"/>
        </w:rPr>
        <w:t xml:space="preserve"> отсутствие глубокого систематического анализа реального состояния нашей образовательной системы и, соответственно, серьезных педагогических исследований, на которые могли бы опираться назревшие реформы. В [</w:t>
      </w:r>
      <w:r w:rsidR="00E92D40" w:rsidRPr="00A401B5">
        <w:rPr>
          <w:rFonts w:eastAsia="Calibri" w:cs="Times New Roman"/>
          <w:sz w:val="28"/>
          <w:szCs w:val="28"/>
        </w:rPr>
        <w:t>2</w:t>
      </w:r>
      <w:r w:rsidRPr="00A401B5">
        <w:rPr>
          <w:rFonts w:eastAsia="Calibri" w:cs="Times New Roman"/>
          <w:sz w:val="28"/>
          <w:szCs w:val="28"/>
        </w:rPr>
        <w:t>] автор приходит к выводу о целесообразности возвращения Российской академии образования функций опережающего планирования и организации исследований перспективных направлений развития</w:t>
      </w:r>
      <w:r w:rsidR="00A401B5" w:rsidRPr="00A401B5">
        <w:rPr>
          <w:rFonts w:eastAsia="Calibri" w:cs="Times New Roman"/>
          <w:sz w:val="28"/>
          <w:szCs w:val="28"/>
        </w:rPr>
        <w:t xml:space="preserve"> </w:t>
      </w:r>
      <w:r w:rsidR="00E92D40" w:rsidRPr="00A401B5">
        <w:rPr>
          <w:rFonts w:eastAsia="Calibri" w:cs="Times New Roman"/>
          <w:sz w:val="28"/>
          <w:szCs w:val="28"/>
        </w:rPr>
        <w:t xml:space="preserve">высшей школы. </w:t>
      </w:r>
      <w:r w:rsidRPr="00A401B5">
        <w:rPr>
          <w:rFonts w:eastAsia="Calibri" w:cs="Times New Roman"/>
          <w:sz w:val="28"/>
          <w:szCs w:val="28"/>
        </w:rPr>
        <w:t xml:space="preserve"> </w:t>
      </w:r>
    </w:p>
    <w:p w14:paraId="1C038907" w14:textId="77777777" w:rsidR="008F3F58" w:rsidRPr="00A401B5" w:rsidRDefault="008F3F58" w:rsidP="008F3F58">
      <w:pPr>
        <w:jc w:val="both"/>
        <w:rPr>
          <w:rFonts w:eastAsia="Calibri" w:cs="Times New Roman"/>
          <w:sz w:val="28"/>
          <w:szCs w:val="28"/>
        </w:rPr>
      </w:pPr>
      <w:r w:rsidRPr="00A401B5">
        <w:rPr>
          <w:rFonts w:eastAsia="Calibri" w:cs="Times New Roman"/>
          <w:sz w:val="28"/>
          <w:szCs w:val="28"/>
        </w:rPr>
        <w:t xml:space="preserve">В </w:t>
      </w:r>
      <w:r w:rsidR="00DA5387" w:rsidRPr="00A401B5">
        <w:rPr>
          <w:rFonts w:eastAsia="Calibri" w:cs="Times New Roman"/>
          <w:sz w:val="28"/>
          <w:szCs w:val="28"/>
        </w:rPr>
        <w:t xml:space="preserve">современном </w:t>
      </w:r>
      <w:r w:rsidRPr="00A401B5">
        <w:rPr>
          <w:rFonts w:eastAsia="Calibri" w:cs="Times New Roman"/>
          <w:sz w:val="28"/>
          <w:szCs w:val="28"/>
        </w:rPr>
        <w:t xml:space="preserve">мире с огромной скоростью происходят перемены во всех сферах человеческой жизнедеятельности, активно развиваются системы искусственного интеллекта, облачные хранилища «больших данных», </w:t>
      </w:r>
      <w:proofErr w:type="spellStart"/>
      <w:r w:rsidRPr="00A401B5">
        <w:rPr>
          <w:rFonts w:eastAsia="Calibri" w:cs="Times New Roman"/>
          <w:sz w:val="28"/>
          <w:szCs w:val="28"/>
        </w:rPr>
        <w:t>блокчейн</w:t>
      </w:r>
      <w:proofErr w:type="spellEnd"/>
      <w:r w:rsidRPr="00A401B5">
        <w:rPr>
          <w:rFonts w:eastAsia="Calibri" w:cs="Times New Roman"/>
          <w:sz w:val="28"/>
          <w:szCs w:val="28"/>
        </w:rPr>
        <w:t>, технологии дистанционного взаимодействия. Стремительное развитие технологий (производственных, телекоммуникационных, информационных, Smart Technology) и цифровизация являются драйвером экономического роста [</w:t>
      </w:r>
      <w:r w:rsidR="00E92D40" w:rsidRPr="00A401B5">
        <w:rPr>
          <w:rFonts w:eastAsia="Calibri" w:cs="Times New Roman"/>
          <w:sz w:val="28"/>
          <w:szCs w:val="28"/>
        </w:rPr>
        <w:t>3</w:t>
      </w:r>
      <w:r w:rsidRPr="00A401B5">
        <w:rPr>
          <w:rFonts w:eastAsia="Calibri" w:cs="Times New Roman"/>
          <w:sz w:val="28"/>
          <w:szCs w:val="28"/>
        </w:rPr>
        <w:t>] и основой устойчивого развития стран</w:t>
      </w:r>
      <w:r w:rsidR="001D34EE" w:rsidRPr="00A401B5">
        <w:rPr>
          <w:rFonts w:cs="Times New Roman"/>
          <w:sz w:val="28"/>
          <w:szCs w:val="28"/>
        </w:rPr>
        <w:t xml:space="preserve"> </w:t>
      </w:r>
      <w:r w:rsidR="001D34EE" w:rsidRPr="00A401B5">
        <w:rPr>
          <w:rFonts w:eastAsia="Calibri" w:cs="Times New Roman"/>
          <w:sz w:val="28"/>
          <w:szCs w:val="28"/>
        </w:rPr>
        <w:t xml:space="preserve">в условиях </w:t>
      </w:r>
      <w:r w:rsidR="00DA5387" w:rsidRPr="00A401B5">
        <w:rPr>
          <w:rFonts w:eastAsia="Calibri" w:cs="Times New Roman"/>
          <w:sz w:val="28"/>
          <w:szCs w:val="28"/>
        </w:rPr>
        <w:t>современных вызовов</w:t>
      </w:r>
      <w:r w:rsidRPr="00A401B5">
        <w:rPr>
          <w:rFonts w:eastAsia="Calibri" w:cs="Times New Roman"/>
          <w:sz w:val="28"/>
          <w:szCs w:val="28"/>
        </w:rPr>
        <w:t xml:space="preserve">, </w:t>
      </w:r>
      <w:r w:rsidR="001D34EE" w:rsidRPr="00A401B5">
        <w:rPr>
          <w:rFonts w:eastAsia="Calibri" w:cs="Times New Roman"/>
          <w:sz w:val="28"/>
          <w:szCs w:val="28"/>
        </w:rPr>
        <w:t xml:space="preserve">основами </w:t>
      </w:r>
      <w:r w:rsidRPr="00A401B5">
        <w:rPr>
          <w:rFonts w:eastAsia="Calibri" w:cs="Times New Roman"/>
          <w:sz w:val="28"/>
          <w:szCs w:val="28"/>
        </w:rPr>
        <w:t xml:space="preserve"> формирования «цифровой экономики», создания цифровых экосистем, интеграции процессов цифровизации в социально-значимые сферы, в том числе в сферу </w:t>
      </w:r>
      <w:r w:rsidR="001D34EE" w:rsidRPr="00A401B5">
        <w:rPr>
          <w:rFonts w:eastAsia="Calibri" w:cs="Times New Roman"/>
          <w:sz w:val="28"/>
          <w:szCs w:val="28"/>
        </w:rPr>
        <w:t>образования</w:t>
      </w:r>
      <w:r w:rsidRPr="00A401B5">
        <w:rPr>
          <w:rFonts w:eastAsia="Calibri" w:cs="Times New Roman"/>
          <w:sz w:val="28"/>
          <w:szCs w:val="28"/>
        </w:rPr>
        <w:t>.</w:t>
      </w:r>
    </w:p>
    <w:p w14:paraId="4EAC9833" w14:textId="77777777" w:rsidR="000820C6" w:rsidRPr="00A401B5" w:rsidRDefault="001D34EE" w:rsidP="000820C6">
      <w:pPr>
        <w:jc w:val="both"/>
        <w:rPr>
          <w:rFonts w:cs="Times New Roman"/>
          <w:sz w:val="28"/>
          <w:szCs w:val="28"/>
        </w:rPr>
      </w:pPr>
      <w:r w:rsidRPr="00A401B5">
        <w:rPr>
          <w:rFonts w:eastAsia="Calibri" w:cs="Times New Roman"/>
          <w:sz w:val="28"/>
          <w:szCs w:val="28"/>
        </w:rPr>
        <w:lastRenderedPageBreak/>
        <w:t xml:space="preserve">В условиях цифровизации всех сфер современной жизнедеятельности, включая образование, </w:t>
      </w:r>
      <w:r w:rsidR="003038EE" w:rsidRPr="00A401B5">
        <w:rPr>
          <w:rFonts w:eastAsia="Calibri" w:cs="Times New Roman"/>
          <w:sz w:val="28"/>
          <w:szCs w:val="28"/>
        </w:rPr>
        <w:t xml:space="preserve">трансформируя и модернизируя его. </w:t>
      </w:r>
      <w:r w:rsidR="000820C6" w:rsidRPr="00A401B5">
        <w:rPr>
          <w:rFonts w:cs="Times New Roman"/>
          <w:sz w:val="28"/>
          <w:szCs w:val="28"/>
        </w:rPr>
        <w:t xml:space="preserve"> </w:t>
      </w:r>
    </w:p>
    <w:p w14:paraId="4E57C161" w14:textId="77777777" w:rsidR="00F34932" w:rsidRPr="00A401B5" w:rsidRDefault="00F34932" w:rsidP="00F34932">
      <w:pPr>
        <w:jc w:val="both"/>
        <w:rPr>
          <w:rFonts w:eastAsia="Calibri" w:cs="Times New Roman"/>
          <w:sz w:val="28"/>
          <w:szCs w:val="28"/>
        </w:rPr>
      </w:pPr>
      <w:r w:rsidRPr="00A401B5">
        <w:rPr>
          <w:rFonts w:eastAsia="Calibri" w:cs="Times New Roman"/>
          <w:sz w:val="28"/>
          <w:szCs w:val="28"/>
        </w:rPr>
        <w:t xml:space="preserve">Опираясь на труды </w:t>
      </w:r>
      <w:r w:rsidR="001742A3" w:rsidRPr="00A401B5">
        <w:rPr>
          <w:rFonts w:eastAsia="Calibri" w:cs="Times New Roman"/>
          <w:sz w:val="28"/>
          <w:szCs w:val="28"/>
        </w:rPr>
        <w:t xml:space="preserve"> академика Российской академии образования </w:t>
      </w:r>
      <w:proofErr w:type="spellStart"/>
      <w:r w:rsidRPr="00A401B5">
        <w:rPr>
          <w:rFonts w:eastAsia="Calibri" w:cs="Times New Roman"/>
          <w:sz w:val="28"/>
          <w:szCs w:val="28"/>
        </w:rPr>
        <w:t>И.В.Роберт</w:t>
      </w:r>
      <w:proofErr w:type="spellEnd"/>
      <w:r w:rsidRPr="00A401B5">
        <w:rPr>
          <w:rFonts w:eastAsia="Calibri" w:cs="Times New Roman"/>
          <w:sz w:val="28"/>
          <w:szCs w:val="28"/>
        </w:rPr>
        <w:t xml:space="preserve"> [</w:t>
      </w:r>
      <w:r w:rsidR="00B73AD0" w:rsidRPr="00A401B5">
        <w:rPr>
          <w:rFonts w:eastAsia="Calibri" w:cs="Times New Roman"/>
          <w:sz w:val="28"/>
          <w:szCs w:val="28"/>
        </w:rPr>
        <w:t xml:space="preserve"> </w:t>
      </w:r>
      <w:r w:rsidR="00E92D40" w:rsidRPr="00A401B5">
        <w:rPr>
          <w:rFonts w:eastAsia="Calibri" w:cs="Times New Roman"/>
          <w:sz w:val="28"/>
          <w:szCs w:val="28"/>
        </w:rPr>
        <w:t>4-7</w:t>
      </w:r>
      <w:r w:rsidRPr="00A401B5">
        <w:rPr>
          <w:rFonts w:eastAsia="Calibri" w:cs="Times New Roman"/>
          <w:sz w:val="28"/>
          <w:szCs w:val="28"/>
        </w:rPr>
        <w:t xml:space="preserve">],  можно </w:t>
      </w:r>
      <w:r w:rsidR="00325C5D" w:rsidRPr="00A401B5">
        <w:rPr>
          <w:rFonts w:eastAsia="Calibri" w:cs="Times New Roman"/>
          <w:sz w:val="28"/>
          <w:szCs w:val="28"/>
        </w:rPr>
        <w:t xml:space="preserve">сделать вывод </w:t>
      </w:r>
      <w:r w:rsidRPr="00A401B5">
        <w:rPr>
          <w:rFonts w:eastAsia="Calibri" w:cs="Times New Roman"/>
          <w:sz w:val="28"/>
          <w:szCs w:val="28"/>
        </w:rPr>
        <w:t xml:space="preserve"> о смене парадигм в образовании и переходе  от традиционного образования к парадигме современного периода информатизации образования как совокупности  научно-педагогических положений и технологических решений, ориентированных на реализацию в образовании достижений современного «цифрового» общества массовой сетевой коммуникации и глобализации в условиях предотвращения возможных негативных последствий. </w:t>
      </w:r>
    </w:p>
    <w:p w14:paraId="17A292D0" w14:textId="77777777" w:rsidR="001742A3" w:rsidRPr="00A401B5" w:rsidRDefault="001742A3" w:rsidP="001742A3">
      <w:pPr>
        <w:jc w:val="both"/>
        <w:rPr>
          <w:rFonts w:eastAsia="Calibri" w:cs="Times New Roman"/>
          <w:sz w:val="28"/>
          <w:szCs w:val="28"/>
        </w:rPr>
      </w:pPr>
      <w:r w:rsidRPr="00A401B5">
        <w:rPr>
          <w:rFonts w:eastAsia="Calibri" w:cs="Times New Roman"/>
          <w:sz w:val="28"/>
          <w:szCs w:val="28"/>
        </w:rPr>
        <w:t>Пандемия COVID-19 оказала очень глубокое воздействие на систему высшего образования. Это воздействие имело многосторонние последствия для организации системы высшего образования, для модификации образовательных технологий, для взаимоотношений между преподавателями и обучающимися, для результативности образовательного процесса</w:t>
      </w:r>
      <w:r w:rsidR="005E467C" w:rsidRPr="00A401B5">
        <w:rPr>
          <w:rFonts w:eastAsia="Calibri" w:cs="Times New Roman"/>
          <w:sz w:val="28"/>
          <w:szCs w:val="28"/>
        </w:rPr>
        <w:t xml:space="preserve"> [</w:t>
      </w:r>
      <w:r w:rsidR="00E92D40" w:rsidRPr="00A401B5">
        <w:rPr>
          <w:rFonts w:eastAsia="Calibri" w:cs="Times New Roman"/>
          <w:sz w:val="28"/>
          <w:szCs w:val="28"/>
        </w:rPr>
        <w:t>8</w:t>
      </w:r>
      <w:r w:rsidR="005E467C" w:rsidRPr="00A401B5">
        <w:rPr>
          <w:rFonts w:eastAsia="Calibri" w:cs="Times New Roman"/>
          <w:sz w:val="28"/>
          <w:szCs w:val="28"/>
        </w:rPr>
        <w:t>]</w:t>
      </w:r>
      <w:r w:rsidRPr="00A401B5">
        <w:rPr>
          <w:rFonts w:eastAsia="Calibri" w:cs="Times New Roman"/>
          <w:sz w:val="28"/>
          <w:szCs w:val="28"/>
        </w:rPr>
        <w:t xml:space="preserve">. </w:t>
      </w:r>
    </w:p>
    <w:p w14:paraId="52E6F09B" w14:textId="77777777" w:rsidR="001742A3" w:rsidRPr="00A401B5" w:rsidRDefault="001742A3" w:rsidP="001742A3">
      <w:pPr>
        <w:jc w:val="both"/>
        <w:rPr>
          <w:rFonts w:eastAsia="Calibri" w:cs="Times New Roman"/>
          <w:sz w:val="28"/>
          <w:szCs w:val="28"/>
        </w:rPr>
      </w:pPr>
      <w:r w:rsidRPr="00A401B5">
        <w:rPr>
          <w:rFonts w:eastAsia="Calibri" w:cs="Times New Roman"/>
          <w:sz w:val="28"/>
          <w:szCs w:val="28"/>
        </w:rPr>
        <w:t>По данным выборочных наблюдений качества и доступности услуг в сферах образования, здравоохранения и социального обслуживания, содействия занятости населения, опубликованных на официальном сайте Росстата [</w:t>
      </w:r>
      <w:r w:rsidR="00E92D40" w:rsidRPr="00A401B5">
        <w:rPr>
          <w:rFonts w:eastAsia="Calibri" w:cs="Times New Roman"/>
          <w:sz w:val="28"/>
          <w:szCs w:val="28"/>
        </w:rPr>
        <w:t>9</w:t>
      </w:r>
      <w:r w:rsidRPr="00A401B5">
        <w:rPr>
          <w:rFonts w:eastAsia="Calibri" w:cs="Times New Roman"/>
          <w:sz w:val="28"/>
          <w:szCs w:val="28"/>
        </w:rPr>
        <w:t>] удовлетворенность работой  образовательных организаций профессионального и высшего образования оценивалась,   в том числе и по критериям обеспечения условий для дистанционного обучения со стороны образовательной организации: отсутствия необходимого оборудования, специальных программ, соответствующей подготовки у преподавателей и др. была  в 2020/2021 учебном году невысокой  (Таблица 1).</w:t>
      </w:r>
    </w:p>
    <w:p w14:paraId="00A9493F" w14:textId="77777777" w:rsidR="001742A3" w:rsidRPr="00A401B5" w:rsidRDefault="001742A3" w:rsidP="001742A3">
      <w:pPr>
        <w:jc w:val="both"/>
        <w:rPr>
          <w:rFonts w:eastAsia="Calibri" w:cs="Times New Roman"/>
          <w:sz w:val="28"/>
          <w:szCs w:val="28"/>
        </w:rPr>
      </w:pPr>
      <w:r w:rsidRPr="00A401B5">
        <w:rPr>
          <w:rFonts w:eastAsia="Calibri" w:cs="Times New Roman"/>
          <w:sz w:val="28"/>
          <w:szCs w:val="28"/>
        </w:rPr>
        <w:t xml:space="preserve">Таблица 1. Удовлетворенность работой  образовательных организаций профессионального и высшего образования в 2020/2021 учебном году [составлено автором </w:t>
      </w:r>
      <w:r w:rsidR="00325C5D" w:rsidRPr="00A401B5">
        <w:rPr>
          <w:rFonts w:eastAsia="Calibri" w:cs="Times New Roman"/>
          <w:sz w:val="28"/>
          <w:szCs w:val="28"/>
        </w:rPr>
        <w:t>по данным</w:t>
      </w:r>
      <w:r w:rsidRPr="00A401B5">
        <w:rPr>
          <w:rFonts w:eastAsia="Calibri" w:cs="Times New Roman"/>
          <w:sz w:val="28"/>
          <w:szCs w:val="28"/>
        </w:rPr>
        <w:t xml:space="preserve"> </w:t>
      </w:r>
      <w:r w:rsidR="00E92D40" w:rsidRPr="00A401B5">
        <w:rPr>
          <w:rFonts w:eastAsia="Calibri" w:cs="Times New Roman"/>
          <w:sz w:val="28"/>
          <w:szCs w:val="28"/>
        </w:rPr>
        <w:t>9</w:t>
      </w:r>
      <w:r w:rsidRPr="00A401B5">
        <w:rPr>
          <w:rFonts w:eastAsia="Calibri" w:cs="Times New Roman"/>
          <w:sz w:val="28"/>
          <w:szCs w:val="28"/>
        </w:rPr>
        <w:t>]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6"/>
        <w:gridCol w:w="1943"/>
        <w:gridCol w:w="1842"/>
        <w:gridCol w:w="992"/>
        <w:gridCol w:w="1560"/>
      </w:tblGrid>
      <w:tr w:rsidR="001742A3" w:rsidRPr="00A401B5" w14:paraId="3FBBD6E0" w14:textId="77777777" w:rsidTr="005A6105">
        <w:trPr>
          <w:trHeight w:val="961"/>
        </w:trPr>
        <w:tc>
          <w:tcPr>
            <w:tcW w:w="3635" w:type="dxa"/>
            <w:hideMark/>
          </w:tcPr>
          <w:p w14:paraId="796BAEAE" w14:textId="77777777" w:rsidR="005A6105" w:rsidRPr="00A401B5" w:rsidRDefault="00325C5D" w:rsidP="005A6105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401B5">
              <w:rPr>
                <w:rFonts w:eastAsia="Calibri" w:cs="Times New Roman"/>
                <w:sz w:val="28"/>
                <w:szCs w:val="28"/>
              </w:rPr>
              <w:t xml:space="preserve">Причины </w:t>
            </w:r>
          </w:p>
          <w:p w14:paraId="33193D47" w14:textId="77777777" w:rsidR="001742A3" w:rsidRPr="00A401B5" w:rsidRDefault="005A6105" w:rsidP="005A6105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401B5">
              <w:rPr>
                <w:rFonts w:eastAsia="Calibri" w:cs="Times New Roman"/>
                <w:sz w:val="28"/>
                <w:szCs w:val="28"/>
              </w:rPr>
              <w:t>не</w:t>
            </w:r>
            <w:r w:rsidR="00325C5D" w:rsidRPr="00A401B5">
              <w:rPr>
                <w:rFonts w:eastAsia="Calibri" w:cs="Times New Roman"/>
                <w:sz w:val="28"/>
                <w:szCs w:val="28"/>
              </w:rPr>
              <w:t>удовлетворен</w:t>
            </w:r>
            <w:r w:rsidRPr="00A401B5">
              <w:rPr>
                <w:rFonts w:eastAsia="Calibri" w:cs="Times New Roman"/>
                <w:sz w:val="28"/>
                <w:szCs w:val="28"/>
              </w:rPr>
              <w:t>ности</w:t>
            </w:r>
            <w:r w:rsidR="00325C5D" w:rsidRPr="00A401B5">
              <w:rPr>
                <w:rFonts w:eastAsia="Calibri" w:cs="Times New Roman"/>
                <w:sz w:val="28"/>
                <w:szCs w:val="28"/>
              </w:rPr>
              <w:t xml:space="preserve"> организацией </w:t>
            </w:r>
            <w:r w:rsidR="00325C5D" w:rsidRPr="00A401B5">
              <w:rPr>
                <w:rFonts w:eastAsia="Calibri" w:cs="Times New Roman"/>
                <w:sz w:val="28"/>
                <w:szCs w:val="28"/>
              </w:rPr>
              <w:lastRenderedPageBreak/>
              <w:t>дистанционного обучения</w:t>
            </w:r>
          </w:p>
        </w:tc>
        <w:tc>
          <w:tcPr>
            <w:tcW w:w="3306" w:type="dxa"/>
            <w:gridSpan w:val="2"/>
            <w:hideMark/>
          </w:tcPr>
          <w:p w14:paraId="6A5099BE" w14:textId="77777777" w:rsidR="001742A3" w:rsidRPr="00A401B5" w:rsidRDefault="001742A3" w:rsidP="008B5B53">
            <w:pPr>
              <w:ind w:firstLine="0"/>
              <w:jc w:val="both"/>
              <w:rPr>
                <w:rFonts w:eastAsia="Calibri" w:cs="Times New Roman"/>
                <w:i/>
                <w:iCs/>
                <w:sz w:val="28"/>
                <w:szCs w:val="28"/>
              </w:rPr>
            </w:pPr>
            <w:r w:rsidRPr="00A401B5">
              <w:rPr>
                <w:rFonts w:eastAsia="Calibri" w:cs="Times New Roman"/>
                <w:i/>
                <w:iCs/>
                <w:sz w:val="28"/>
                <w:szCs w:val="28"/>
              </w:rPr>
              <w:lastRenderedPageBreak/>
              <w:t>по наличию оплаты за обучение</w:t>
            </w:r>
          </w:p>
        </w:tc>
        <w:tc>
          <w:tcPr>
            <w:tcW w:w="2552" w:type="dxa"/>
            <w:gridSpan w:val="2"/>
            <w:hideMark/>
          </w:tcPr>
          <w:p w14:paraId="3126FCC5" w14:textId="77777777" w:rsidR="001742A3" w:rsidRPr="00A401B5" w:rsidRDefault="001742A3" w:rsidP="008B5B53">
            <w:pPr>
              <w:ind w:firstLine="0"/>
              <w:jc w:val="both"/>
              <w:rPr>
                <w:rFonts w:eastAsia="Calibri" w:cs="Times New Roman"/>
                <w:i/>
                <w:iCs/>
                <w:sz w:val="28"/>
                <w:szCs w:val="28"/>
              </w:rPr>
            </w:pPr>
            <w:r w:rsidRPr="00A401B5">
              <w:rPr>
                <w:rFonts w:eastAsia="Calibri" w:cs="Times New Roman"/>
                <w:i/>
                <w:iCs/>
                <w:sz w:val="28"/>
                <w:szCs w:val="28"/>
              </w:rPr>
              <w:t>по форме обучения</w:t>
            </w:r>
          </w:p>
        </w:tc>
      </w:tr>
      <w:tr w:rsidR="001742A3" w:rsidRPr="00A401B5" w14:paraId="17388002" w14:textId="77777777" w:rsidTr="008B5B53">
        <w:trPr>
          <w:trHeight w:val="885"/>
        </w:trPr>
        <w:tc>
          <w:tcPr>
            <w:tcW w:w="3635" w:type="dxa"/>
            <w:hideMark/>
          </w:tcPr>
          <w:p w14:paraId="242F29E4" w14:textId="77777777" w:rsidR="001742A3" w:rsidRPr="00A401B5" w:rsidRDefault="001742A3" w:rsidP="008B5B53">
            <w:pPr>
              <w:spacing w:line="240" w:lineRule="auto"/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Из числа лиц в возрасте до 30 лет, обучавшихся в 2020/2021 учебном году в профессиональной образовательной организации или организации высшего образования, и находившихся в течение учебного года на дистанционном обучении, не удовлетворены организацией дистанционного обучения по причинам:</w:t>
            </w:r>
          </w:p>
        </w:tc>
        <w:tc>
          <w:tcPr>
            <w:tcW w:w="1696" w:type="dxa"/>
            <w:hideMark/>
          </w:tcPr>
          <w:p w14:paraId="4066D37D" w14:textId="77777777" w:rsidR="001742A3" w:rsidRPr="00A401B5" w:rsidRDefault="001742A3" w:rsidP="008B5B53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401B5">
              <w:rPr>
                <w:rFonts w:eastAsia="Calibri" w:cs="Times New Roman"/>
                <w:sz w:val="28"/>
                <w:szCs w:val="28"/>
              </w:rPr>
              <w:t xml:space="preserve">бесплатно </w:t>
            </w:r>
          </w:p>
          <w:p w14:paraId="43CC3D13" w14:textId="77777777" w:rsidR="001742A3" w:rsidRPr="00A401B5" w:rsidRDefault="001742A3" w:rsidP="008B5B53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401B5">
              <w:rPr>
                <w:rFonts w:eastAsia="Calibri" w:cs="Times New Roman"/>
                <w:sz w:val="28"/>
                <w:szCs w:val="28"/>
              </w:rPr>
              <w:t>(за счет бюджетных ассигнований)</w:t>
            </w:r>
          </w:p>
        </w:tc>
        <w:tc>
          <w:tcPr>
            <w:tcW w:w="1610" w:type="dxa"/>
            <w:hideMark/>
          </w:tcPr>
          <w:p w14:paraId="0D4FD381" w14:textId="77777777" w:rsidR="001742A3" w:rsidRPr="00A401B5" w:rsidRDefault="001742A3" w:rsidP="008B5B53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401B5">
              <w:rPr>
                <w:rFonts w:eastAsia="Calibri" w:cs="Times New Roman"/>
                <w:sz w:val="28"/>
                <w:szCs w:val="28"/>
              </w:rPr>
              <w:t>с полным возмещением стоимости обучения</w:t>
            </w:r>
          </w:p>
        </w:tc>
        <w:tc>
          <w:tcPr>
            <w:tcW w:w="992" w:type="dxa"/>
            <w:hideMark/>
          </w:tcPr>
          <w:p w14:paraId="4A71A7EC" w14:textId="77777777" w:rsidR="001742A3" w:rsidRPr="00A401B5" w:rsidRDefault="001742A3" w:rsidP="008B5B53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401B5">
              <w:rPr>
                <w:rFonts w:eastAsia="Calibri" w:cs="Times New Roman"/>
                <w:sz w:val="28"/>
                <w:szCs w:val="28"/>
              </w:rPr>
              <w:t>очная</w:t>
            </w:r>
          </w:p>
        </w:tc>
        <w:tc>
          <w:tcPr>
            <w:tcW w:w="1560" w:type="dxa"/>
            <w:hideMark/>
          </w:tcPr>
          <w:p w14:paraId="0543DB16" w14:textId="77777777" w:rsidR="001742A3" w:rsidRPr="00A401B5" w:rsidRDefault="001742A3" w:rsidP="008B5B53">
            <w:pPr>
              <w:ind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401B5">
              <w:rPr>
                <w:rFonts w:eastAsia="Calibri" w:cs="Times New Roman"/>
                <w:sz w:val="28"/>
                <w:szCs w:val="28"/>
              </w:rPr>
              <w:t>очно-заочная, заочная и др.</w:t>
            </w:r>
          </w:p>
        </w:tc>
      </w:tr>
      <w:tr w:rsidR="001742A3" w:rsidRPr="00A401B5" w14:paraId="3DCD9428" w14:textId="77777777" w:rsidTr="008B5B53">
        <w:trPr>
          <w:trHeight w:val="1380"/>
        </w:trPr>
        <w:tc>
          <w:tcPr>
            <w:tcW w:w="3635" w:type="dxa"/>
            <w:hideMark/>
          </w:tcPr>
          <w:p w14:paraId="6D939C39" w14:textId="77777777" w:rsidR="001742A3" w:rsidRPr="00A401B5" w:rsidRDefault="001742A3" w:rsidP="008B5B53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>не обеспечены условия для дистанционного обучения со стороны образовательной организации (отсутствует необходимое оборудование, специальные программы, соответствующая подготовка у преподавателей, низкая скорость подключения к сети Интернет)</w:t>
            </w:r>
          </w:p>
        </w:tc>
        <w:tc>
          <w:tcPr>
            <w:tcW w:w="1696" w:type="dxa"/>
            <w:noWrap/>
            <w:hideMark/>
          </w:tcPr>
          <w:p w14:paraId="52DD2C32" w14:textId="77777777" w:rsidR="001742A3" w:rsidRPr="00A401B5" w:rsidRDefault="001742A3" w:rsidP="008B5B5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48,4</w:t>
            </w:r>
          </w:p>
        </w:tc>
        <w:tc>
          <w:tcPr>
            <w:tcW w:w="1610" w:type="dxa"/>
            <w:noWrap/>
            <w:hideMark/>
          </w:tcPr>
          <w:p w14:paraId="09F54CD0" w14:textId="77777777" w:rsidR="001742A3" w:rsidRPr="00A401B5" w:rsidRDefault="001742A3" w:rsidP="008B5B5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40,0</w:t>
            </w:r>
          </w:p>
        </w:tc>
        <w:tc>
          <w:tcPr>
            <w:tcW w:w="992" w:type="dxa"/>
            <w:noWrap/>
            <w:hideMark/>
          </w:tcPr>
          <w:p w14:paraId="22908874" w14:textId="77777777" w:rsidR="001742A3" w:rsidRPr="00A401B5" w:rsidRDefault="001742A3" w:rsidP="008B5B5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46,0</w:t>
            </w:r>
          </w:p>
        </w:tc>
        <w:tc>
          <w:tcPr>
            <w:tcW w:w="1560" w:type="dxa"/>
            <w:noWrap/>
            <w:hideMark/>
          </w:tcPr>
          <w:p w14:paraId="1DCF8928" w14:textId="77777777" w:rsidR="001742A3" w:rsidRPr="00A401B5" w:rsidRDefault="001742A3" w:rsidP="008B5B5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50,3</w:t>
            </w:r>
          </w:p>
        </w:tc>
      </w:tr>
      <w:tr w:rsidR="001742A3" w:rsidRPr="00A401B5" w14:paraId="066DAD6B" w14:textId="77777777" w:rsidTr="008B5B53">
        <w:trPr>
          <w:trHeight w:val="930"/>
        </w:trPr>
        <w:tc>
          <w:tcPr>
            <w:tcW w:w="3635" w:type="dxa"/>
            <w:hideMark/>
          </w:tcPr>
          <w:p w14:paraId="12B98718" w14:textId="77777777" w:rsidR="001742A3" w:rsidRPr="00A401B5" w:rsidRDefault="001742A3" w:rsidP="008B5B53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>личностные (отсутствие мотивации, самодисциплины, необходимых навыков обучения в онлайн-формате, не хватает личного общения с преподавателями и сверстниками)</w:t>
            </w:r>
          </w:p>
        </w:tc>
        <w:tc>
          <w:tcPr>
            <w:tcW w:w="1696" w:type="dxa"/>
            <w:noWrap/>
            <w:hideMark/>
          </w:tcPr>
          <w:p w14:paraId="72805EE9" w14:textId="77777777" w:rsidR="001742A3" w:rsidRPr="00A401B5" w:rsidRDefault="001742A3" w:rsidP="008B5B5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81,6</w:t>
            </w:r>
          </w:p>
        </w:tc>
        <w:tc>
          <w:tcPr>
            <w:tcW w:w="1610" w:type="dxa"/>
            <w:noWrap/>
            <w:hideMark/>
          </w:tcPr>
          <w:p w14:paraId="41C5FD84" w14:textId="77777777" w:rsidR="001742A3" w:rsidRPr="00A401B5" w:rsidRDefault="001742A3" w:rsidP="008B5B5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82,2</w:t>
            </w:r>
          </w:p>
        </w:tc>
        <w:tc>
          <w:tcPr>
            <w:tcW w:w="992" w:type="dxa"/>
            <w:noWrap/>
            <w:hideMark/>
          </w:tcPr>
          <w:p w14:paraId="639B87F1" w14:textId="77777777" w:rsidR="001742A3" w:rsidRPr="00A401B5" w:rsidRDefault="001742A3" w:rsidP="008B5B5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81,7</w:t>
            </w:r>
          </w:p>
        </w:tc>
        <w:tc>
          <w:tcPr>
            <w:tcW w:w="1560" w:type="dxa"/>
            <w:noWrap/>
            <w:hideMark/>
          </w:tcPr>
          <w:p w14:paraId="60BB2455" w14:textId="77777777" w:rsidR="001742A3" w:rsidRPr="00A401B5" w:rsidRDefault="001742A3" w:rsidP="008B5B5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81,7</w:t>
            </w:r>
          </w:p>
        </w:tc>
      </w:tr>
      <w:tr w:rsidR="001742A3" w:rsidRPr="00A401B5" w14:paraId="07C419A6" w14:textId="77777777" w:rsidTr="008B5B53">
        <w:trPr>
          <w:trHeight w:val="480"/>
        </w:trPr>
        <w:tc>
          <w:tcPr>
            <w:tcW w:w="3635" w:type="dxa"/>
            <w:hideMark/>
          </w:tcPr>
          <w:p w14:paraId="38A2A1DC" w14:textId="77777777" w:rsidR="001742A3" w:rsidRPr="00A401B5" w:rsidRDefault="001742A3" w:rsidP="008B5B53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технические (один компьютер (ноутбук) на всех членов семьи, перебои с доступом в Интернет)</w:t>
            </w:r>
          </w:p>
        </w:tc>
        <w:tc>
          <w:tcPr>
            <w:tcW w:w="1696" w:type="dxa"/>
            <w:noWrap/>
            <w:hideMark/>
          </w:tcPr>
          <w:p w14:paraId="52285368" w14:textId="77777777" w:rsidR="001742A3" w:rsidRPr="00A401B5" w:rsidRDefault="001742A3" w:rsidP="008B5B5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30,3</w:t>
            </w:r>
          </w:p>
        </w:tc>
        <w:tc>
          <w:tcPr>
            <w:tcW w:w="1610" w:type="dxa"/>
            <w:noWrap/>
            <w:hideMark/>
          </w:tcPr>
          <w:p w14:paraId="7014987E" w14:textId="77777777" w:rsidR="001742A3" w:rsidRPr="00A401B5" w:rsidRDefault="001742A3" w:rsidP="008B5B5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25,2</w:t>
            </w:r>
          </w:p>
        </w:tc>
        <w:tc>
          <w:tcPr>
            <w:tcW w:w="992" w:type="dxa"/>
            <w:noWrap/>
            <w:hideMark/>
          </w:tcPr>
          <w:p w14:paraId="612B0033" w14:textId="77777777" w:rsidR="001742A3" w:rsidRPr="00A401B5" w:rsidRDefault="001742A3" w:rsidP="008B5B5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29,5</w:t>
            </w:r>
          </w:p>
        </w:tc>
        <w:tc>
          <w:tcPr>
            <w:tcW w:w="1560" w:type="dxa"/>
            <w:noWrap/>
            <w:hideMark/>
          </w:tcPr>
          <w:p w14:paraId="49B38A0E" w14:textId="77777777" w:rsidR="001742A3" w:rsidRPr="00A401B5" w:rsidRDefault="001742A3" w:rsidP="008B5B5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21,1</w:t>
            </w:r>
          </w:p>
        </w:tc>
      </w:tr>
      <w:tr w:rsidR="001742A3" w:rsidRPr="00A401B5" w14:paraId="4435ED1F" w14:textId="77777777" w:rsidTr="008B5B53">
        <w:trPr>
          <w:trHeight w:val="480"/>
        </w:trPr>
        <w:tc>
          <w:tcPr>
            <w:tcW w:w="3635" w:type="dxa"/>
            <w:hideMark/>
          </w:tcPr>
          <w:p w14:paraId="0918B1A0" w14:textId="77777777" w:rsidR="001742A3" w:rsidRPr="00A401B5" w:rsidRDefault="001742A3" w:rsidP="008B5B53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>финансовые (дополнительные расходы на Интернет, на приобретение необходимого оборудования)</w:t>
            </w:r>
          </w:p>
        </w:tc>
        <w:tc>
          <w:tcPr>
            <w:tcW w:w="1696" w:type="dxa"/>
            <w:noWrap/>
            <w:hideMark/>
          </w:tcPr>
          <w:p w14:paraId="13630312" w14:textId="77777777" w:rsidR="001742A3" w:rsidRPr="00A401B5" w:rsidRDefault="001742A3" w:rsidP="008B5B5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15,1</w:t>
            </w:r>
          </w:p>
        </w:tc>
        <w:tc>
          <w:tcPr>
            <w:tcW w:w="1610" w:type="dxa"/>
            <w:noWrap/>
            <w:hideMark/>
          </w:tcPr>
          <w:p w14:paraId="58798901" w14:textId="77777777" w:rsidR="001742A3" w:rsidRPr="00A401B5" w:rsidRDefault="001742A3" w:rsidP="008B5B5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19,4</w:t>
            </w:r>
          </w:p>
        </w:tc>
        <w:tc>
          <w:tcPr>
            <w:tcW w:w="992" w:type="dxa"/>
            <w:noWrap/>
            <w:hideMark/>
          </w:tcPr>
          <w:p w14:paraId="4989BF6F" w14:textId="77777777" w:rsidR="001742A3" w:rsidRPr="00A401B5" w:rsidRDefault="001742A3" w:rsidP="008B5B5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16,2</w:t>
            </w:r>
          </w:p>
        </w:tc>
        <w:tc>
          <w:tcPr>
            <w:tcW w:w="1560" w:type="dxa"/>
            <w:noWrap/>
            <w:hideMark/>
          </w:tcPr>
          <w:p w14:paraId="4481D785" w14:textId="77777777" w:rsidR="001742A3" w:rsidRPr="00A401B5" w:rsidRDefault="001742A3" w:rsidP="008B5B5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01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16,4</w:t>
            </w:r>
          </w:p>
        </w:tc>
      </w:tr>
    </w:tbl>
    <w:p w14:paraId="63D69600" w14:textId="77777777" w:rsidR="001742A3" w:rsidRPr="00A401B5" w:rsidRDefault="001742A3" w:rsidP="001742A3">
      <w:pPr>
        <w:jc w:val="both"/>
        <w:rPr>
          <w:rFonts w:eastAsia="Calibri" w:cs="Times New Roman"/>
          <w:sz w:val="28"/>
          <w:szCs w:val="28"/>
        </w:rPr>
      </w:pPr>
    </w:p>
    <w:p w14:paraId="3A4572BD" w14:textId="77777777" w:rsidR="00A401B5" w:rsidRPr="00A401B5" w:rsidRDefault="001742A3" w:rsidP="001742A3">
      <w:pPr>
        <w:jc w:val="both"/>
        <w:rPr>
          <w:rFonts w:eastAsia="Calibri" w:cs="Times New Roman"/>
          <w:sz w:val="28"/>
          <w:szCs w:val="28"/>
        </w:rPr>
      </w:pPr>
      <w:r w:rsidRPr="00A401B5">
        <w:rPr>
          <w:rFonts w:eastAsia="Calibri" w:cs="Times New Roman"/>
          <w:sz w:val="28"/>
          <w:szCs w:val="28"/>
        </w:rPr>
        <w:t>Данные таблицы 1 убедительно доказывают, что основной причиной неудовлетворенности организации дистанционного об</w:t>
      </w:r>
      <w:r w:rsidR="00300B1A" w:rsidRPr="00A401B5">
        <w:rPr>
          <w:rFonts w:eastAsia="Calibri" w:cs="Times New Roman"/>
          <w:sz w:val="28"/>
          <w:szCs w:val="28"/>
        </w:rPr>
        <w:t xml:space="preserve">учения стали личностные причины, </w:t>
      </w:r>
      <w:r w:rsidRPr="00A401B5">
        <w:rPr>
          <w:rFonts w:eastAsia="Calibri" w:cs="Times New Roman"/>
          <w:sz w:val="28"/>
          <w:szCs w:val="28"/>
        </w:rPr>
        <w:t xml:space="preserve"> </w:t>
      </w:r>
      <w:r w:rsidR="00300B1A" w:rsidRPr="00A401B5">
        <w:rPr>
          <w:rFonts w:eastAsia="Calibri" w:cs="Times New Roman"/>
          <w:sz w:val="28"/>
          <w:szCs w:val="28"/>
        </w:rPr>
        <w:t>т</w:t>
      </w:r>
      <w:r w:rsidRPr="00A401B5">
        <w:rPr>
          <w:rFonts w:eastAsia="Calibri" w:cs="Times New Roman"/>
          <w:sz w:val="28"/>
          <w:szCs w:val="28"/>
        </w:rPr>
        <w:t xml:space="preserve">акие как отсутствие мотивации, самодисциплины, </w:t>
      </w:r>
      <w:r w:rsidR="00300B1A" w:rsidRPr="00A401B5">
        <w:rPr>
          <w:rFonts w:eastAsia="Calibri" w:cs="Times New Roman"/>
          <w:sz w:val="28"/>
          <w:szCs w:val="28"/>
        </w:rPr>
        <w:t>н</w:t>
      </w:r>
      <w:r w:rsidRPr="00A401B5">
        <w:rPr>
          <w:rFonts w:eastAsia="Calibri" w:cs="Times New Roman"/>
          <w:sz w:val="28"/>
          <w:szCs w:val="28"/>
        </w:rPr>
        <w:t>еобходимых навыков обучения в онлайн-формате, отсутствие или нехватка  личного общения с преподавателями и сверстниками. Но в качестве причины неудовлетворенности качеством дистанционного обучения каждый второй респондент назвал технические проблемы: отсутствует необходимое оборудование, специальные программы, соответствующая подготовка у преподавателей, низкая скорость подключения к сети Интернет, то есть отсутствие  условий для дистанционного обучения со стороны образовательной организации. В этих условиях развитие цифровой образовательной среды  актуально и значимо. На основе анализа научной и методической литературы можно заключить, что цифровая образовательная среда – это открытая совокупность информационных систем, предназначенных для обеспечения различных задач процесса образования [</w:t>
      </w:r>
      <w:r w:rsidR="00E92D40" w:rsidRPr="00A401B5">
        <w:rPr>
          <w:rFonts w:eastAsia="Calibri" w:cs="Times New Roman"/>
          <w:sz w:val="28"/>
          <w:szCs w:val="28"/>
        </w:rPr>
        <w:t>10</w:t>
      </w:r>
      <w:r w:rsidRPr="00A401B5">
        <w:rPr>
          <w:rFonts w:eastAsia="Calibri" w:cs="Times New Roman"/>
          <w:sz w:val="28"/>
          <w:szCs w:val="28"/>
        </w:rPr>
        <w:t xml:space="preserve">]. В этой связи закономерно возникает вопрос о влиянии цифровизации образования и применения цифровых технологий на развитие познавательных способностей обучающихся, в частности студентов вуза. </w:t>
      </w:r>
    </w:p>
    <w:p w14:paraId="154F965A" w14:textId="77777777" w:rsidR="001742A3" w:rsidRPr="00A401B5" w:rsidRDefault="001742A3" w:rsidP="001742A3">
      <w:pPr>
        <w:jc w:val="both"/>
        <w:rPr>
          <w:rFonts w:eastAsia="Calibri" w:cs="Times New Roman"/>
          <w:sz w:val="28"/>
          <w:szCs w:val="28"/>
        </w:rPr>
      </w:pPr>
      <w:r w:rsidRPr="00A401B5">
        <w:rPr>
          <w:rFonts w:eastAsia="Calibri" w:cs="Times New Roman"/>
          <w:sz w:val="28"/>
          <w:szCs w:val="28"/>
        </w:rPr>
        <w:t xml:space="preserve">Цифровизация образования и повсеместное применение цифровых образовательных технологий оказывает существенное влияние на специфику способностей современных студентов. В некоторых работах </w:t>
      </w:r>
      <w:r w:rsidR="005A6105" w:rsidRPr="00A401B5">
        <w:rPr>
          <w:rFonts w:eastAsia="Calibri" w:cs="Times New Roman"/>
          <w:sz w:val="28"/>
          <w:szCs w:val="28"/>
        </w:rPr>
        <w:t xml:space="preserve">[10, 11] </w:t>
      </w:r>
      <w:r w:rsidRPr="00A401B5">
        <w:rPr>
          <w:rFonts w:eastAsia="Calibri" w:cs="Times New Roman"/>
          <w:sz w:val="28"/>
          <w:szCs w:val="28"/>
        </w:rPr>
        <w:t xml:space="preserve">отмечается, что применение информационных технологий в процессе </w:t>
      </w:r>
      <w:r w:rsidRPr="00A401B5">
        <w:rPr>
          <w:rFonts w:eastAsia="Calibri" w:cs="Times New Roman"/>
          <w:sz w:val="28"/>
          <w:szCs w:val="28"/>
        </w:rPr>
        <w:lastRenderedPageBreak/>
        <w:t xml:space="preserve">обучения способствует развитию интеллекта и креативности. За счет использования информационных технологий у обучающихся сохраняется на более длительный срок высокая познавательная активность, интерес к получению и закреплению знаний. Вместе с тем, в ряде исследований подчеркивается, что существует реальный риск деформации мышления, речи и всех познавательных способностей у обучающихся. Вследствие чрезмерного потребления информации у обучающихся нарушаются все когнитивные процессы, а именно такие свойства внимания как концентрация, объем, распределение. Человек проявляет рассеянность, низкий уровень самоконтроля, трудности в управлении своим вниманием и др. Наблюдается существенное ухудшение памяти, уменьшается ее объем, способность к сохранению и воспроизведению материала. </w:t>
      </w:r>
      <w:r w:rsidR="00300B1A" w:rsidRPr="00A401B5">
        <w:rPr>
          <w:rFonts w:eastAsia="Calibri" w:cs="Times New Roman"/>
          <w:sz w:val="28"/>
          <w:szCs w:val="28"/>
        </w:rPr>
        <w:t xml:space="preserve">Апробация результатов научных исследований,  направленных на изучение характера влияния повсеместного использования цифровых технологий в образовательном процессе вуза на развитие познавательных способностей студентов вузов </w:t>
      </w:r>
      <w:r w:rsidRPr="00A401B5">
        <w:rPr>
          <w:rFonts w:eastAsia="Calibri" w:cs="Times New Roman"/>
          <w:sz w:val="28"/>
          <w:szCs w:val="28"/>
        </w:rPr>
        <w:t>предпринята в сборнике РАО [</w:t>
      </w:r>
      <w:r w:rsidR="00E92D40" w:rsidRPr="00A401B5">
        <w:rPr>
          <w:rFonts w:eastAsia="Calibri" w:cs="Times New Roman"/>
          <w:sz w:val="28"/>
          <w:szCs w:val="28"/>
        </w:rPr>
        <w:t>10</w:t>
      </w:r>
      <w:r w:rsidRPr="00A401B5">
        <w:rPr>
          <w:rFonts w:eastAsia="Calibri" w:cs="Times New Roman"/>
          <w:sz w:val="28"/>
          <w:szCs w:val="28"/>
        </w:rPr>
        <w:t xml:space="preserve">]. Преподаватели, ученые по-разному воспринимают процесс перехода на новый формат обучения. </w:t>
      </w:r>
    </w:p>
    <w:p w14:paraId="2947BE6F" w14:textId="77777777" w:rsidR="00F34932" w:rsidRPr="00A401B5" w:rsidRDefault="005E467C" w:rsidP="00F34932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A401B5">
        <w:rPr>
          <w:rFonts w:cs="Times New Roman"/>
          <w:sz w:val="28"/>
          <w:szCs w:val="28"/>
        </w:rPr>
        <w:t xml:space="preserve">Академик </w:t>
      </w:r>
      <w:proofErr w:type="spellStart"/>
      <w:r w:rsidR="00F34932" w:rsidRPr="00A401B5">
        <w:rPr>
          <w:rFonts w:cs="Times New Roman"/>
          <w:sz w:val="28"/>
          <w:szCs w:val="28"/>
        </w:rPr>
        <w:t>И.В.Роберт</w:t>
      </w:r>
      <w:proofErr w:type="spellEnd"/>
      <w:r w:rsidR="00F34932" w:rsidRPr="00A401B5">
        <w:rPr>
          <w:rFonts w:cs="Times New Roman"/>
          <w:sz w:val="28"/>
          <w:szCs w:val="28"/>
        </w:rPr>
        <w:t xml:space="preserve"> в [</w:t>
      </w:r>
      <w:r w:rsidR="00E92D40" w:rsidRPr="00A401B5">
        <w:rPr>
          <w:rFonts w:cs="Times New Roman"/>
          <w:sz w:val="28"/>
          <w:szCs w:val="28"/>
        </w:rPr>
        <w:t>4</w:t>
      </w:r>
      <w:r w:rsidR="00A401B5" w:rsidRPr="00A401B5">
        <w:rPr>
          <w:rFonts w:cs="Times New Roman"/>
          <w:sz w:val="28"/>
          <w:szCs w:val="28"/>
        </w:rPr>
        <w:t>] обоснованно</w:t>
      </w:r>
      <w:r w:rsidR="00F34932" w:rsidRPr="00A401B5">
        <w:rPr>
          <w:rFonts w:cs="Times New Roman"/>
          <w:sz w:val="28"/>
          <w:szCs w:val="28"/>
        </w:rPr>
        <w:t xml:space="preserve"> указывает на отрицательные последствия технологий неконтактного информационного взаимодействия: деструктивное поведению индивида в социуме;  доминированию поведения сообщества над поведением индивида; искажению представлений индивида о традиционных ценностях; превалированию визуализации над содержательной основой изучаемого (рассматриваемого) объекта, процесса, сюжета («</w:t>
      </w:r>
      <w:proofErr w:type="spellStart"/>
      <w:r w:rsidR="00F34932" w:rsidRPr="00A401B5">
        <w:rPr>
          <w:rFonts w:cs="Times New Roman"/>
          <w:sz w:val="28"/>
          <w:szCs w:val="28"/>
        </w:rPr>
        <w:t>визуализационный</w:t>
      </w:r>
      <w:proofErr w:type="spellEnd"/>
      <w:r w:rsidR="00F34932" w:rsidRPr="00A401B5">
        <w:rPr>
          <w:rFonts w:cs="Times New Roman"/>
          <w:sz w:val="28"/>
          <w:szCs w:val="28"/>
        </w:rPr>
        <w:t xml:space="preserve"> примитивизм»), что может привести к превалированию «клипового» восприятия и искажению представлений индивида о реальной действительности с последующим «вылущиванием» индивида из реального социума; размыванию «Я-личности» индивида при различных вариантах его </w:t>
      </w:r>
      <w:proofErr w:type="spellStart"/>
      <w:r w:rsidR="00F34932" w:rsidRPr="00A401B5">
        <w:rPr>
          <w:rFonts w:cs="Times New Roman"/>
          <w:sz w:val="28"/>
          <w:szCs w:val="28"/>
        </w:rPr>
        <w:t>самопредставления</w:t>
      </w:r>
      <w:proofErr w:type="spellEnd"/>
      <w:r w:rsidR="00F34932" w:rsidRPr="00A401B5">
        <w:rPr>
          <w:rFonts w:cs="Times New Roman"/>
          <w:sz w:val="28"/>
          <w:szCs w:val="28"/>
        </w:rPr>
        <w:t xml:space="preserve"> в информационных сетях (в виде графического знака, картинки, курсора), приводящего к деструкции личности, к потере цельности личности; приоритету для индивида мнений, </w:t>
      </w:r>
      <w:r w:rsidR="00F34932" w:rsidRPr="00A401B5">
        <w:rPr>
          <w:rFonts w:cs="Times New Roman"/>
          <w:sz w:val="28"/>
          <w:szCs w:val="28"/>
        </w:rPr>
        <w:lastRenderedPageBreak/>
        <w:t xml:space="preserve">полученных из «виртуальных источников». Длительное присутствие в профессиональном виртуальном мире  может привести к: делегированию своих профессиональных функций техническим системам, подобное делегирование неизбежно   приведет  к ослаблению профессиональных навыков и к деградации профессионализма; делегированию доверия в области решения профессиональных задач технико-технологическим реализациям, а не собственному профессионализму. </w:t>
      </w:r>
    </w:p>
    <w:p w14:paraId="40616398" w14:textId="09F2E83F" w:rsidR="008F3F58" w:rsidRPr="00A401B5" w:rsidRDefault="008F3F58" w:rsidP="00B73AD0">
      <w:pPr>
        <w:jc w:val="both"/>
        <w:rPr>
          <w:rFonts w:eastAsia="Calibri" w:cs="Times New Roman"/>
          <w:sz w:val="28"/>
          <w:szCs w:val="28"/>
        </w:rPr>
      </w:pPr>
      <w:r w:rsidRPr="00A401B5">
        <w:rPr>
          <w:rFonts w:eastAsia="Calibri" w:cs="Times New Roman"/>
          <w:sz w:val="28"/>
          <w:szCs w:val="28"/>
        </w:rPr>
        <w:t>В современных исследованиях подчеркивается, что модернизация системы непрерывного профессионального образования в России предусматривает необходимость создания цифровой образовательной среды для непрерывного профессионального образования, включающей в себя комбинацию цифровых услуг, образовательных инструментов, электронных (онлайн) курсов, цифровых образовательных ресурсов, призванных обеспечить качественное высшее образование и профессиональную переподготовку специалистов</w:t>
      </w:r>
      <w:r w:rsidR="005B04D7" w:rsidRPr="00A401B5">
        <w:rPr>
          <w:rFonts w:eastAsia="Calibri" w:cs="Times New Roman"/>
          <w:sz w:val="28"/>
          <w:szCs w:val="28"/>
        </w:rPr>
        <w:t>.</w:t>
      </w:r>
      <w:r w:rsidR="00C02F4B" w:rsidRPr="00A401B5">
        <w:rPr>
          <w:rFonts w:eastAsia="Calibri" w:cs="Times New Roman"/>
          <w:sz w:val="28"/>
          <w:szCs w:val="28"/>
        </w:rPr>
        <w:t xml:space="preserve"> </w:t>
      </w:r>
      <w:r w:rsidR="00B73AD0" w:rsidRPr="00A401B5">
        <w:rPr>
          <w:rFonts w:eastAsia="Calibri" w:cs="Times New Roman"/>
          <w:sz w:val="28"/>
          <w:szCs w:val="28"/>
        </w:rPr>
        <w:t>Такие ц</w:t>
      </w:r>
      <w:r w:rsidR="00A100B0" w:rsidRPr="00A401B5">
        <w:rPr>
          <w:rFonts w:eastAsia="Calibri" w:cs="Times New Roman"/>
          <w:sz w:val="28"/>
          <w:szCs w:val="28"/>
        </w:rPr>
        <w:t>ифров</w:t>
      </w:r>
      <w:r w:rsidR="00B73AD0" w:rsidRPr="00A401B5">
        <w:rPr>
          <w:rFonts w:eastAsia="Calibri" w:cs="Times New Roman"/>
          <w:sz w:val="28"/>
          <w:szCs w:val="28"/>
        </w:rPr>
        <w:t>ые</w:t>
      </w:r>
      <w:r w:rsidR="00A100B0" w:rsidRPr="00A401B5">
        <w:rPr>
          <w:rFonts w:eastAsia="Calibri" w:cs="Times New Roman"/>
          <w:sz w:val="28"/>
          <w:szCs w:val="28"/>
        </w:rPr>
        <w:t xml:space="preserve">  </w:t>
      </w:r>
      <w:r w:rsidR="00B73AD0" w:rsidRPr="00A401B5">
        <w:rPr>
          <w:rFonts w:eastAsia="Calibri" w:cs="Times New Roman"/>
          <w:sz w:val="28"/>
          <w:szCs w:val="28"/>
        </w:rPr>
        <w:t xml:space="preserve"> образовательные </w:t>
      </w:r>
      <w:r w:rsidR="00A100B0" w:rsidRPr="00A401B5">
        <w:rPr>
          <w:rFonts w:eastAsia="Calibri" w:cs="Times New Roman"/>
          <w:sz w:val="28"/>
          <w:szCs w:val="28"/>
        </w:rPr>
        <w:t>платформ</w:t>
      </w:r>
      <w:r w:rsidR="00B73AD0" w:rsidRPr="00A401B5">
        <w:rPr>
          <w:rFonts w:eastAsia="Calibri" w:cs="Times New Roman"/>
          <w:sz w:val="28"/>
          <w:szCs w:val="28"/>
        </w:rPr>
        <w:t>ы как</w:t>
      </w:r>
      <w:r w:rsidR="00A100B0" w:rsidRPr="00A401B5">
        <w:rPr>
          <w:rFonts w:eastAsia="Calibri" w:cs="Times New Roman"/>
          <w:sz w:val="28"/>
          <w:szCs w:val="28"/>
        </w:rPr>
        <w:t xml:space="preserve">  </w:t>
      </w:r>
      <w:r w:rsidR="00B73AD0" w:rsidRPr="00A401B5">
        <w:rPr>
          <w:rFonts w:eastAsia="Calibri" w:cs="Times New Roman"/>
          <w:sz w:val="28"/>
          <w:szCs w:val="28"/>
        </w:rPr>
        <w:t>“Университет 20</w:t>
      </w:r>
      <w:r w:rsidR="00A100B0" w:rsidRPr="00A401B5">
        <w:rPr>
          <w:rFonts w:eastAsia="Calibri" w:cs="Times New Roman"/>
          <w:sz w:val="28"/>
          <w:szCs w:val="28"/>
        </w:rPr>
        <w:t>35</w:t>
      </w:r>
      <w:r w:rsidR="00B73AD0" w:rsidRPr="00A401B5">
        <w:rPr>
          <w:rFonts w:eastAsia="Calibri" w:cs="Times New Roman"/>
          <w:sz w:val="28"/>
          <w:szCs w:val="28"/>
        </w:rPr>
        <w:t>»</w:t>
      </w:r>
      <w:r w:rsidR="00A100B0" w:rsidRPr="00A401B5">
        <w:rPr>
          <w:rFonts w:eastAsia="Calibri" w:cs="Times New Roman"/>
          <w:sz w:val="28"/>
          <w:szCs w:val="28"/>
        </w:rPr>
        <w:t xml:space="preserve"> </w:t>
      </w:r>
      <w:r w:rsidR="00B73AD0" w:rsidRPr="00A401B5">
        <w:rPr>
          <w:rFonts w:eastAsia="Calibri" w:cs="Times New Roman"/>
          <w:sz w:val="28"/>
          <w:szCs w:val="28"/>
        </w:rPr>
        <w:t xml:space="preserve">хорошо показали себя в качестве </w:t>
      </w:r>
      <w:r w:rsidR="00A100B0" w:rsidRPr="00A401B5">
        <w:rPr>
          <w:rFonts w:eastAsia="Calibri" w:cs="Times New Roman"/>
          <w:sz w:val="28"/>
          <w:szCs w:val="28"/>
        </w:rPr>
        <w:t>цифровы</w:t>
      </w:r>
      <w:r w:rsidR="00B73AD0" w:rsidRPr="00A401B5">
        <w:rPr>
          <w:rFonts w:eastAsia="Calibri" w:cs="Times New Roman"/>
          <w:sz w:val="28"/>
          <w:szCs w:val="28"/>
        </w:rPr>
        <w:t>х</w:t>
      </w:r>
      <w:r w:rsidR="00A100B0" w:rsidRPr="00A401B5">
        <w:rPr>
          <w:rFonts w:eastAsia="Calibri" w:cs="Times New Roman"/>
          <w:sz w:val="28"/>
          <w:szCs w:val="28"/>
        </w:rPr>
        <w:t xml:space="preserve"> интеграторо</w:t>
      </w:r>
      <w:r w:rsidR="00B73AD0" w:rsidRPr="00A401B5">
        <w:rPr>
          <w:rFonts w:eastAsia="Calibri" w:cs="Times New Roman"/>
          <w:sz w:val="28"/>
          <w:szCs w:val="28"/>
        </w:rPr>
        <w:t>в</w:t>
      </w:r>
      <w:r w:rsidR="00A100B0" w:rsidRPr="00A401B5">
        <w:rPr>
          <w:rFonts w:eastAsia="Calibri" w:cs="Times New Roman"/>
          <w:sz w:val="28"/>
          <w:szCs w:val="28"/>
        </w:rPr>
        <w:t xml:space="preserve"> в области цифрового образования.</w:t>
      </w:r>
      <w:r w:rsidR="00B73AD0" w:rsidRPr="00A401B5">
        <w:rPr>
          <w:rFonts w:cs="Times New Roman"/>
          <w:sz w:val="28"/>
          <w:szCs w:val="28"/>
        </w:rPr>
        <w:t xml:space="preserve"> </w:t>
      </w:r>
      <w:r w:rsidR="00B73AD0" w:rsidRPr="00A401B5">
        <w:rPr>
          <w:rFonts w:eastAsia="Calibri" w:cs="Times New Roman"/>
          <w:sz w:val="28"/>
          <w:szCs w:val="28"/>
        </w:rPr>
        <w:t xml:space="preserve">В рамках программы, реализуемой на  цифровой   образовательной платформе  Университет 2035,   ФГБОУ </w:t>
      </w:r>
      <w:proofErr w:type="gramStart"/>
      <w:r w:rsidR="00B73AD0" w:rsidRPr="00A401B5">
        <w:rPr>
          <w:rFonts w:eastAsia="Calibri" w:cs="Times New Roman"/>
          <w:sz w:val="28"/>
          <w:szCs w:val="28"/>
        </w:rPr>
        <w:t>ВО</w:t>
      </w:r>
      <w:proofErr w:type="gramEnd"/>
      <w:r w:rsidR="00B73AD0" w:rsidRPr="00A401B5">
        <w:rPr>
          <w:rFonts w:eastAsia="Calibri" w:cs="Times New Roman"/>
          <w:sz w:val="28"/>
          <w:szCs w:val="28"/>
        </w:rPr>
        <w:t xml:space="preserve"> «Балтийский государственный технический университет «ВОЕНМЕХ» им. Д.Ф. Устинова» реализует учебный онлайн</w:t>
      </w:r>
      <w:r w:rsidR="00760D49">
        <w:rPr>
          <w:rFonts w:eastAsia="Calibri" w:cs="Times New Roman"/>
          <w:sz w:val="28"/>
          <w:szCs w:val="28"/>
        </w:rPr>
        <w:t>-</w:t>
      </w:r>
      <w:r w:rsidR="00B73AD0" w:rsidRPr="00A401B5">
        <w:rPr>
          <w:rFonts w:eastAsia="Calibri" w:cs="Times New Roman"/>
          <w:sz w:val="28"/>
          <w:szCs w:val="28"/>
        </w:rPr>
        <w:t>проект «Digital Future». В рамках этого проект</w:t>
      </w:r>
      <w:r w:rsidR="005A6105" w:rsidRPr="00A401B5">
        <w:rPr>
          <w:rFonts w:eastAsia="Calibri" w:cs="Times New Roman"/>
          <w:sz w:val="28"/>
          <w:szCs w:val="28"/>
        </w:rPr>
        <w:t xml:space="preserve">а </w:t>
      </w:r>
      <w:r w:rsidR="00B73AD0" w:rsidRPr="00A401B5">
        <w:rPr>
          <w:rFonts w:eastAsia="Calibri" w:cs="Times New Roman"/>
          <w:sz w:val="28"/>
          <w:szCs w:val="28"/>
        </w:rPr>
        <w:t xml:space="preserve"> </w:t>
      </w:r>
      <w:r w:rsidR="005A6105" w:rsidRPr="00A401B5">
        <w:rPr>
          <w:rFonts w:eastAsia="Calibri" w:cs="Times New Roman"/>
          <w:sz w:val="28"/>
          <w:szCs w:val="28"/>
        </w:rPr>
        <w:t xml:space="preserve">автором </w:t>
      </w:r>
      <w:r w:rsidR="00B73AD0" w:rsidRPr="00A401B5">
        <w:rPr>
          <w:rFonts w:eastAsia="Calibri" w:cs="Times New Roman"/>
          <w:sz w:val="28"/>
          <w:szCs w:val="28"/>
        </w:rPr>
        <w:t xml:space="preserve"> был проведен </w:t>
      </w:r>
      <w:r w:rsidR="005A6105" w:rsidRPr="00A401B5">
        <w:rPr>
          <w:rFonts w:eastAsia="Calibri" w:cs="Times New Roman"/>
          <w:sz w:val="28"/>
          <w:szCs w:val="28"/>
        </w:rPr>
        <w:t xml:space="preserve">социологический </w:t>
      </w:r>
      <w:r w:rsidR="00B73AD0" w:rsidRPr="00A401B5">
        <w:rPr>
          <w:rFonts w:eastAsia="Calibri" w:cs="Times New Roman"/>
          <w:sz w:val="28"/>
          <w:szCs w:val="28"/>
        </w:rPr>
        <w:t>опрос относительно мотивов противодействия цифровизации образовательного процесса. Результаты опроса совпали с результатами официальной статистики.  Основной причиной неудовлетворенности организации дистанционного обучения стали отсутствие мотивации, самодисциплины, необходимость прикладывать усилия для реализации  обучения в онлайн-формате.</w:t>
      </w:r>
    </w:p>
    <w:p w14:paraId="73368BB1" w14:textId="77777777" w:rsidR="005B04D7" w:rsidRPr="00A401B5" w:rsidRDefault="00B73AD0" w:rsidP="005B04D7">
      <w:pPr>
        <w:jc w:val="both"/>
        <w:rPr>
          <w:rFonts w:eastAsia="Calibri" w:cs="Times New Roman"/>
          <w:sz w:val="28"/>
          <w:szCs w:val="28"/>
        </w:rPr>
      </w:pPr>
      <w:r w:rsidRPr="00A401B5">
        <w:rPr>
          <w:rFonts w:eastAsia="Calibri" w:cs="Times New Roman"/>
          <w:sz w:val="28"/>
          <w:szCs w:val="28"/>
        </w:rPr>
        <w:t xml:space="preserve"> </w:t>
      </w:r>
      <w:r w:rsidR="005B04D7" w:rsidRPr="00A401B5">
        <w:rPr>
          <w:rFonts w:eastAsia="Calibri" w:cs="Times New Roman"/>
          <w:sz w:val="28"/>
          <w:szCs w:val="28"/>
        </w:rPr>
        <w:t xml:space="preserve">Из числа лиц в возрасте до 30 лет, обучавшихся в 2020/2021 учебном году в профессиональной образовательной организации или организации высшего образования, и находившихся в течение учебного года на </w:t>
      </w:r>
      <w:r w:rsidR="005B04D7" w:rsidRPr="00A401B5">
        <w:rPr>
          <w:rFonts w:eastAsia="Calibri" w:cs="Times New Roman"/>
          <w:sz w:val="28"/>
          <w:szCs w:val="28"/>
        </w:rPr>
        <w:lastRenderedPageBreak/>
        <w:t>дистанционном обучении, не удовлетворены организацией дистанционного обучения по причинам того, что не обеспечены условия для дистанционного обучения со стороны образовательной организации (отсутствует необходимое оборудование, специальные программы, соответствующая подготовка у преподавателей, низкая скорость подключения к сети Интернет) более половины респондентов получавших образование в области информатики и выч</w:t>
      </w:r>
      <w:r w:rsidR="0086395A" w:rsidRPr="00A401B5">
        <w:rPr>
          <w:rFonts w:eastAsia="Calibri" w:cs="Times New Roman"/>
          <w:sz w:val="28"/>
          <w:szCs w:val="28"/>
        </w:rPr>
        <w:t xml:space="preserve">ислительной техники  (73,9%) и </w:t>
      </w:r>
      <w:r w:rsidR="005B04D7" w:rsidRPr="00A401B5">
        <w:rPr>
          <w:rFonts w:eastAsia="Calibri" w:cs="Times New Roman"/>
          <w:sz w:val="28"/>
          <w:szCs w:val="28"/>
        </w:rPr>
        <w:t>здравоохранения ( 54,65%) (рис.1).</w:t>
      </w:r>
    </w:p>
    <w:p w14:paraId="0E99FE77" w14:textId="77777777" w:rsidR="005B04D7" w:rsidRPr="00A401B5" w:rsidRDefault="005B04D7" w:rsidP="005B04D7">
      <w:pPr>
        <w:jc w:val="both"/>
        <w:rPr>
          <w:rFonts w:eastAsia="Calibri" w:cs="Times New Roman"/>
          <w:sz w:val="28"/>
          <w:szCs w:val="28"/>
        </w:rPr>
      </w:pPr>
      <w:r w:rsidRPr="00A401B5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5D714861" wp14:editId="5DF28BE6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4C3C3C4" w14:textId="77777777" w:rsidR="005B04D7" w:rsidRPr="00A401B5" w:rsidRDefault="005B04D7" w:rsidP="005B04D7">
      <w:pPr>
        <w:jc w:val="both"/>
        <w:rPr>
          <w:rFonts w:eastAsia="Calibri" w:cs="Times New Roman"/>
          <w:sz w:val="28"/>
          <w:szCs w:val="28"/>
        </w:rPr>
      </w:pPr>
    </w:p>
    <w:p w14:paraId="253A1A4F" w14:textId="77777777" w:rsidR="005B04D7" w:rsidRPr="00A401B5" w:rsidRDefault="005B04D7" w:rsidP="001B265B">
      <w:pPr>
        <w:jc w:val="center"/>
        <w:rPr>
          <w:rFonts w:eastAsia="Calibri" w:cs="Times New Roman"/>
          <w:sz w:val="28"/>
          <w:szCs w:val="28"/>
        </w:rPr>
      </w:pPr>
      <w:r w:rsidRPr="00A401B5">
        <w:rPr>
          <w:rFonts w:eastAsia="Calibri" w:cs="Times New Roman"/>
          <w:sz w:val="28"/>
          <w:szCs w:val="28"/>
        </w:rPr>
        <w:t xml:space="preserve">Рис.1. Удовлетворенность работой  образовательных организаций профессионального и высшего образования в 2020/2021 учебном году по сферам образования, % [составлено автором </w:t>
      </w:r>
      <w:r w:rsidR="005A6105" w:rsidRPr="00A401B5">
        <w:rPr>
          <w:rFonts w:eastAsia="Calibri" w:cs="Times New Roman"/>
          <w:sz w:val="28"/>
          <w:szCs w:val="28"/>
        </w:rPr>
        <w:t xml:space="preserve">по данным </w:t>
      </w:r>
      <w:r w:rsidRPr="00A401B5">
        <w:rPr>
          <w:rFonts w:eastAsia="Calibri" w:cs="Times New Roman"/>
          <w:sz w:val="28"/>
          <w:szCs w:val="28"/>
        </w:rPr>
        <w:t xml:space="preserve"> </w:t>
      </w:r>
      <w:r w:rsidR="00E92D40" w:rsidRPr="00A401B5">
        <w:rPr>
          <w:rFonts w:eastAsia="Calibri" w:cs="Times New Roman"/>
          <w:sz w:val="28"/>
          <w:szCs w:val="28"/>
        </w:rPr>
        <w:t>9</w:t>
      </w:r>
      <w:r w:rsidRPr="00A401B5">
        <w:rPr>
          <w:rFonts w:eastAsia="Calibri" w:cs="Times New Roman"/>
          <w:sz w:val="28"/>
          <w:szCs w:val="28"/>
        </w:rPr>
        <w:t>]</w:t>
      </w:r>
    </w:p>
    <w:p w14:paraId="411015F3" w14:textId="77777777" w:rsidR="00A401B5" w:rsidRPr="00A401B5" w:rsidRDefault="00A401B5" w:rsidP="005B04D7">
      <w:pPr>
        <w:jc w:val="both"/>
        <w:rPr>
          <w:rFonts w:eastAsia="Calibri" w:cs="Times New Roman"/>
          <w:sz w:val="28"/>
          <w:szCs w:val="28"/>
        </w:rPr>
      </w:pPr>
    </w:p>
    <w:p w14:paraId="2126EF89" w14:textId="77777777" w:rsidR="005B04D7" w:rsidRPr="00A401B5" w:rsidRDefault="005A6105" w:rsidP="005B04D7">
      <w:pPr>
        <w:jc w:val="both"/>
        <w:rPr>
          <w:rFonts w:eastAsia="Calibri" w:cs="Times New Roman"/>
          <w:sz w:val="28"/>
          <w:szCs w:val="28"/>
        </w:rPr>
      </w:pPr>
      <w:r w:rsidRPr="00A401B5">
        <w:rPr>
          <w:rFonts w:eastAsia="Calibri" w:cs="Times New Roman"/>
          <w:sz w:val="28"/>
          <w:szCs w:val="28"/>
        </w:rPr>
        <w:t xml:space="preserve">Согласно </w:t>
      </w:r>
      <w:r w:rsidR="005B04D7" w:rsidRPr="00A401B5">
        <w:rPr>
          <w:rFonts w:eastAsia="Calibri" w:cs="Times New Roman"/>
          <w:sz w:val="28"/>
          <w:szCs w:val="28"/>
        </w:rPr>
        <w:t xml:space="preserve"> рис.1 проблемы отсутствия цифровой образовательной среды в </w:t>
      </w:r>
      <w:r w:rsidRPr="00A401B5">
        <w:rPr>
          <w:rFonts w:eastAsia="Calibri" w:cs="Times New Roman"/>
          <w:sz w:val="28"/>
          <w:szCs w:val="28"/>
        </w:rPr>
        <w:t xml:space="preserve">определенной степени </w:t>
      </w:r>
      <w:r w:rsidR="005B04D7" w:rsidRPr="00A401B5">
        <w:rPr>
          <w:rFonts w:eastAsia="Calibri" w:cs="Times New Roman"/>
          <w:sz w:val="28"/>
          <w:szCs w:val="28"/>
        </w:rPr>
        <w:t xml:space="preserve"> наблюда</w:t>
      </w:r>
      <w:r w:rsidRPr="00A401B5">
        <w:rPr>
          <w:rFonts w:eastAsia="Calibri" w:cs="Times New Roman"/>
          <w:sz w:val="28"/>
          <w:szCs w:val="28"/>
        </w:rPr>
        <w:t>ю</w:t>
      </w:r>
      <w:r w:rsidR="005B04D7" w:rsidRPr="00A401B5">
        <w:rPr>
          <w:rFonts w:eastAsia="Calibri" w:cs="Times New Roman"/>
          <w:sz w:val="28"/>
          <w:szCs w:val="28"/>
        </w:rPr>
        <w:t>тся во всех сферах образования, в том числе и в области экономики и управления.</w:t>
      </w:r>
    </w:p>
    <w:p w14:paraId="6DC00F97" w14:textId="77777777" w:rsidR="0083422E" w:rsidRPr="00A401B5" w:rsidRDefault="0083422E" w:rsidP="003A4BCA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1B5">
        <w:rPr>
          <w:rFonts w:ascii="Times New Roman" w:eastAsia="Calibri" w:hAnsi="Times New Roman" w:cs="Times New Roman"/>
          <w:sz w:val="28"/>
          <w:szCs w:val="28"/>
        </w:rPr>
        <w:t>Преимущества использования дистанционных образовательных технологий</w:t>
      </w:r>
      <w:r w:rsidR="00B73AD0" w:rsidRPr="00A401B5">
        <w:rPr>
          <w:rFonts w:ascii="Times New Roman" w:eastAsia="Calibri" w:hAnsi="Times New Roman" w:cs="Times New Roman"/>
          <w:sz w:val="28"/>
          <w:szCs w:val="28"/>
        </w:rPr>
        <w:t xml:space="preserve"> в развитие которых охотно инвестирует крупный бизнес, </w:t>
      </w:r>
      <w:r w:rsidRPr="00A401B5">
        <w:rPr>
          <w:rFonts w:ascii="Times New Roman" w:eastAsia="Calibri" w:hAnsi="Times New Roman" w:cs="Times New Roman"/>
          <w:sz w:val="28"/>
          <w:szCs w:val="28"/>
        </w:rPr>
        <w:t xml:space="preserve"> заключаются не только  в том, что они способны повысить оперативность управления образовательным процессом, снизить издержки, ускорить процесс взаимодействия преподавателей с обучаемыми, обеспечить </w:t>
      </w:r>
      <w:r w:rsidRPr="00A401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доступность образовательных ресурсов, повлиять на расширение экспорта образовательных услуг, но и способствуют развитию инклюзивности в образовании, способствуют реализации права на доступное образование лицам социально уязвимых групп населения. </w:t>
      </w:r>
    </w:p>
    <w:p w14:paraId="7C23163A" w14:textId="77777777" w:rsidR="005B04D7" w:rsidRPr="00A401B5" w:rsidRDefault="005B04D7" w:rsidP="003A4BC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1B5">
        <w:rPr>
          <w:rFonts w:ascii="Times New Roman" w:eastAsia="Calibri" w:hAnsi="Times New Roman" w:cs="Times New Roman"/>
          <w:sz w:val="28"/>
          <w:szCs w:val="28"/>
        </w:rPr>
        <w:t xml:space="preserve">Внедрение в образовательный процесс  онлайн-платформ дисциплин  </w:t>
      </w:r>
      <w:r w:rsidR="00AC2C38" w:rsidRPr="00A401B5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Pr="00A401B5">
        <w:rPr>
          <w:rFonts w:ascii="Times New Roman" w:eastAsia="Calibri" w:hAnsi="Times New Roman" w:cs="Times New Roman"/>
          <w:sz w:val="28"/>
          <w:szCs w:val="28"/>
        </w:rPr>
        <w:t xml:space="preserve"> направление развития </w:t>
      </w:r>
      <w:r w:rsidR="003A4BCA" w:rsidRPr="00A401B5">
        <w:rPr>
          <w:rFonts w:ascii="Times New Roman" w:eastAsia="Calibri" w:hAnsi="Times New Roman" w:cs="Times New Roman"/>
          <w:sz w:val="28"/>
          <w:szCs w:val="28"/>
        </w:rPr>
        <w:t>цифровой образовательной среды</w:t>
      </w:r>
      <w:r w:rsidR="00AC2C38" w:rsidRPr="00A401B5">
        <w:rPr>
          <w:rFonts w:ascii="Times New Roman" w:eastAsia="Calibri" w:hAnsi="Times New Roman" w:cs="Times New Roman"/>
          <w:sz w:val="28"/>
          <w:szCs w:val="28"/>
        </w:rPr>
        <w:t xml:space="preserve"> прошло апробацию в сборнике Исследование проблем и тенденций развития высшего образования в современной России: сборник научных трудов / авт.-сост. Г. А. </w:t>
      </w:r>
      <w:proofErr w:type="spellStart"/>
      <w:r w:rsidR="00AC2C38" w:rsidRPr="00A401B5">
        <w:rPr>
          <w:rFonts w:ascii="Times New Roman" w:eastAsia="Calibri" w:hAnsi="Times New Roman" w:cs="Times New Roman"/>
          <w:sz w:val="28"/>
          <w:szCs w:val="28"/>
        </w:rPr>
        <w:t>Бордовский</w:t>
      </w:r>
      <w:proofErr w:type="spellEnd"/>
      <w:r w:rsidR="00AC2C38" w:rsidRPr="00A401B5">
        <w:rPr>
          <w:rFonts w:ascii="Times New Roman" w:eastAsia="Calibri" w:hAnsi="Times New Roman" w:cs="Times New Roman"/>
          <w:sz w:val="28"/>
          <w:szCs w:val="28"/>
        </w:rPr>
        <w:t>, А. Д. Шматко. — СПб.: ИПЦ СЗИУ РАНХиГС, 2021. — 308 с.</w:t>
      </w:r>
      <w:r w:rsidR="003A4BCA" w:rsidRPr="00A401B5">
        <w:rPr>
          <w:rFonts w:ascii="Times New Roman" w:eastAsia="Calibri" w:hAnsi="Times New Roman" w:cs="Times New Roman"/>
          <w:sz w:val="28"/>
          <w:szCs w:val="28"/>
        </w:rPr>
        <w:t xml:space="preserve"> Данные разр</w:t>
      </w:r>
      <w:r w:rsidR="00AC2C38" w:rsidRPr="00A401B5">
        <w:rPr>
          <w:rFonts w:ascii="Times New Roman" w:eastAsia="Calibri" w:hAnsi="Times New Roman" w:cs="Times New Roman"/>
          <w:sz w:val="28"/>
          <w:szCs w:val="28"/>
        </w:rPr>
        <w:t>а</w:t>
      </w:r>
      <w:r w:rsidR="003A4BCA" w:rsidRPr="00A401B5">
        <w:rPr>
          <w:rFonts w:ascii="Times New Roman" w:eastAsia="Calibri" w:hAnsi="Times New Roman" w:cs="Times New Roman"/>
          <w:sz w:val="28"/>
          <w:szCs w:val="28"/>
        </w:rPr>
        <w:t xml:space="preserve">ботки внедрены </w:t>
      </w:r>
      <w:r w:rsidR="00A401B5" w:rsidRPr="00A401B5">
        <w:rPr>
          <w:rFonts w:ascii="Times New Roman" w:eastAsia="Calibri" w:hAnsi="Times New Roman" w:cs="Times New Roman"/>
          <w:sz w:val="28"/>
          <w:szCs w:val="28"/>
        </w:rPr>
        <w:t xml:space="preserve">автором </w:t>
      </w:r>
      <w:r w:rsidR="003A4BCA" w:rsidRPr="00A401B5">
        <w:rPr>
          <w:rFonts w:ascii="Times New Roman" w:eastAsia="Calibri" w:hAnsi="Times New Roman" w:cs="Times New Roman"/>
          <w:sz w:val="28"/>
          <w:szCs w:val="28"/>
        </w:rPr>
        <w:t xml:space="preserve">при реализации </w:t>
      </w:r>
      <w:r w:rsidR="003A4BCA" w:rsidRPr="00A401B5">
        <w:rPr>
          <w:rFonts w:ascii="Times New Roman" w:hAnsi="Times New Roman" w:cs="Times New Roman"/>
          <w:sz w:val="28"/>
          <w:szCs w:val="28"/>
        </w:rPr>
        <w:t xml:space="preserve">курсов «Введение в управление проектами больших данных» и «Основы стратегии бизнеса в цифровой среде»  в рамках сетевой формы обучения между ФГБОУ ВО «Тульский государственный педагогический университет им. Л.Н. Толстого» и ФГБОУ ВО «Балтийский государственный технический университет «ВОЕНМЕХ» им. Д.Ф. Устинова». Общее число обучающихся на курсе - 101 человек. В настоящее время </w:t>
      </w:r>
      <w:r w:rsidR="005A6105" w:rsidRPr="00A401B5">
        <w:rPr>
          <w:rFonts w:ascii="Times New Roman" w:hAnsi="Times New Roman" w:cs="Times New Roman"/>
          <w:sz w:val="28"/>
          <w:szCs w:val="28"/>
        </w:rPr>
        <w:t xml:space="preserve">завершается </w:t>
      </w:r>
      <w:r w:rsidR="003A4BCA" w:rsidRPr="00A401B5">
        <w:rPr>
          <w:rFonts w:ascii="Times New Roman" w:hAnsi="Times New Roman" w:cs="Times New Roman"/>
          <w:sz w:val="28"/>
          <w:szCs w:val="28"/>
        </w:rPr>
        <w:t xml:space="preserve"> работа по получению Свидетельств</w:t>
      </w:r>
      <w:r w:rsidR="005A6105" w:rsidRPr="00A401B5">
        <w:rPr>
          <w:rFonts w:ascii="Times New Roman" w:hAnsi="Times New Roman" w:cs="Times New Roman"/>
          <w:sz w:val="28"/>
          <w:szCs w:val="28"/>
        </w:rPr>
        <w:t xml:space="preserve"> </w:t>
      </w:r>
      <w:r w:rsidR="003A4BCA" w:rsidRPr="00A401B5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баз данных  на онлайн-платформ</w:t>
      </w:r>
      <w:r w:rsidR="00E9484C" w:rsidRPr="00A401B5">
        <w:rPr>
          <w:rFonts w:ascii="Times New Roman" w:hAnsi="Times New Roman" w:cs="Times New Roman"/>
          <w:sz w:val="28"/>
          <w:szCs w:val="28"/>
        </w:rPr>
        <w:t>ы</w:t>
      </w:r>
      <w:r w:rsidR="003A4BCA" w:rsidRPr="00A401B5">
        <w:rPr>
          <w:rFonts w:ascii="Times New Roman" w:hAnsi="Times New Roman" w:cs="Times New Roman"/>
          <w:sz w:val="28"/>
          <w:szCs w:val="28"/>
        </w:rPr>
        <w:t xml:space="preserve">  для внедрения в образовательный процесс  указанных дисциплин.</w:t>
      </w:r>
    </w:p>
    <w:p w14:paraId="6918B15E" w14:textId="77777777" w:rsidR="00F118B4" w:rsidRDefault="00A401B5" w:rsidP="00F118B4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401B5">
        <w:rPr>
          <w:rFonts w:cs="Times New Roman"/>
          <w:sz w:val="28"/>
          <w:szCs w:val="28"/>
        </w:rPr>
        <w:t>Наличие единых требований для таких цифровых платформ   делает достижимой цель федерального проекта «Цифровая образовательная среда» – создание федеральной цифровой платформы образования и внедрение целевой модели цифровой образовательной среды, которая призвана во всех образовательных организациях на территории Российской Федерации создать профили «цифровых компетенций» для обучающихся, педагогов и административно-управленческого персонала, а также создать единую платформу для обучения.</w:t>
      </w:r>
      <w:r w:rsidR="00F118B4" w:rsidRPr="00F118B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73595E8D" w14:textId="77777777" w:rsidR="00F118B4" w:rsidRPr="00A401B5" w:rsidRDefault="00F118B4" w:rsidP="00F118B4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401B5">
        <w:rPr>
          <w:rFonts w:eastAsia="Times New Roman" w:cs="Times New Roman"/>
          <w:sz w:val="28"/>
          <w:szCs w:val="28"/>
          <w:lang w:eastAsia="ru-RU"/>
        </w:rPr>
        <w:t xml:space="preserve">Данный подход апробирован автором в виде Свидетельства о государственной регистрации баз данных  на онлайн-платформу  для внедрения в образовательный процесс  дисциплин «Цифровая метрология» и «Основы искусственного интеллекта» получено ФГАОУ </w:t>
      </w:r>
      <w:proofErr w:type="gramStart"/>
      <w:r w:rsidRPr="00A401B5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A401B5">
        <w:rPr>
          <w:rFonts w:eastAsia="Times New Roman" w:cs="Times New Roman"/>
          <w:sz w:val="28"/>
          <w:szCs w:val="28"/>
          <w:lang w:eastAsia="ru-RU"/>
        </w:rPr>
        <w:t xml:space="preserve"> «Санкт-</w:t>
      </w:r>
      <w:r w:rsidRPr="00A401B5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Петербургский государственный университет аэрокосмического приборостроения» [13]. Такие онлайн-платформы призваны обеспечивать безопасную цифровую образовательную среду для развития, образования и самообразования обучающихся всех форм обучения. </w:t>
      </w:r>
    </w:p>
    <w:p w14:paraId="468D4DA5" w14:textId="77777777" w:rsidR="00AC2C38" w:rsidRPr="00A401B5" w:rsidRDefault="0081734C" w:rsidP="00AC2C38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401B5">
        <w:rPr>
          <w:rFonts w:eastAsia="Times New Roman" w:cs="Times New Roman"/>
          <w:sz w:val="28"/>
          <w:szCs w:val="28"/>
          <w:lang w:eastAsia="ru-RU"/>
        </w:rPr>
        <w:t>Вызовы, спровоцированные  пандемией COVID-19 в 2020/2021 учебном году, обострившие вышеуказанные проблемы организации образования, сменились в 2021/2022 учебном году новыми</w:t>
      </w:r>
      <w:r w:rsidR="007F6093" w:rsidRPr="00A401B5">
        <w:rPr>
          <w:rFonts w:eastAsia="Times New Roman" w:cs="Times New Roman"/>
          <w:sz w:val="28"/>
          <w:szCs w:val="28"/>
          <w:lang w:eastAsia="ru-RU"/>
        </w:rPr>
        <w:t xml:space="preserve">. Ключевым направлением реагирования на современные кризисные явления, представляющимся в создавшихся условиях  оправданным и целесообразным,   является  разработка отлаженных  механизмов концентрации ресурсов, в том числе в образовательной среде с целью обеспечения доступа  к передовым разработкам  и достижениям с использованием  сетевых форм взаимодействия и доступа </w:t>
      </w:r>
      <w:proofErr w:type="gramStart"/>
      <w:r w:rsidR="007F6093" w:rsidRPr="00A401B5">
        <w:rPr>
          <w:rFonts w:eastAsia="Times New Roman" w:cs="Times New Roman"/>
          <w:sz w:val="28"/>
          <w:szCs w:val="28"/>
          <w:lang w:eastAsia="ru-RU"/>
        </w:rPr>
        <w:t>к</w:t>
      </w:r>
      <w:proofErr w:type="gramEnd"/>
      <w:r w:rsidR="007F6093" w:rsidRPr="00A401B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130BB" w:rsidRPr="00A401B5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7F6093" w:rsidRPr="00A401B5">
        <w:rPr>
          <w:rFonts w:eastAsia="Times New Roman" w:cs="Times New Roman"/>
          <w:sz w:val="28"/>
          <w:szCs w:val="28"/>
          <w:lang w:eastAsia="ru-RU"/>
        </w:rPr>
        <w:t>о</w:t>
      </w:r>
      <w:r w:rsidRPr="00A401B5">
        <w:rPr>
          <w:rFonts w:eastAsia="Times New Roman" w:cs="Times New Roman"/>
          <w:sz w:val="28"/>
          <w:szCs w:val="28"/>
          <w:lang w:eastAsia="ru-RU"/>
        </w:rPr>
        <w:t>бразовательны</w:t>
      </w:r>
      <w:r w:rsidR="007F6093" w:rsidRPr="00A401B5">
        <w:rPr>
          <w:rFonts w:eastAsia="Times New Roman" w:cs="Times New Roman"/>
          <w:sz w:val="28"/>
          <w:szCs w:val="28"/>
          <w:lang w:eastAsia="ru-RU"/>
        </w:rPr>
        <w:t>м</w:t>
      </w:r>
      <w:r w:rsidRPr="00A401B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130BB" w:rsidRPr="00A401B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401B5">
        <w:rPr>
          <w:rFonts w:eastAsia="Times New Roman" w:cs="Times New Roman"/>
          <w:sz w:val="28"/>
          <w:szCs w:val="28"/>
          <w:lang w:eastAsia="ru-RU"/>
        </w:rPr>
        <w:t>онлайн-платформ</w:t>
      </w:r>
      <w:r w:rsidR="007F6093" w:rsidRPr="00A401B5">
        <w:rPr>
          <w:rFonts w:eastAsia="Times New Roman" w:cs="Times New Roman"/>
          <w:sz w:val="28"/>
          <w:szCs w:val="28"/>
          <w:lang w:eastAsia="ru-RU"/>
        </w:rPr>
        <w:t>ам, функционирующим при поддержке государства.</w:t>
      </w:r>
    </w:p>
    <w:p w14:paraId="35E887B0" w14:textId="77777777" w:rsidR="00F508A1" w:rsidRPr="00A401B5" w:rsidRDefault="00F508A1" w:rsidP="00AC2C38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4AA2F20" w14:textId="77777777" w:rsidR="0005756B" w:rsidRPr="00A401B5" w:rsidRDefault="0005756B" w:rsidP="0005756B">
      <w:pPr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A401B5">
        <w:rPr>
          <w:rFonts w:eastAsia="Times New Roman" w:cs="Times New Roman"/>
          <w:sz w:val="28"/>
          <w:szCs w:val="28"/>
          <w:lang w:eastAsia="ru-RU"/>
        </w:rPr>
        <w:t>Литература</w:t>
      </w:r>
    </w:p>
    <w:p w14:paraId="7FDE9D56" w14:textId="77777777" w:rsidR="00A401B5" w:rsidRDefault="00B73AD0" w:rsidP="00B73A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01B5">
        <w:rPr>
          <w:rFonts w:ascii="Times New Roman" w:hAnsi="Times New Roman" w:cs="Times New Roman"/>
          <w:sz w:val="28"/>
          <w:szCs w:val="28"/>
        </w:rPr>
        <w:t>Бордовский</w:t>
      </w:r>
      <w:proofErr w:type="spellEnd"/>
      <w:r w:rsidRPr="00A401B5">
        <w:rPr>
          <w:rFonts w:ascii="Times New Roman" w:hAnsi="Times New Roman" w:cs="Times New Roman"/>
          <w:sz w:val="28"/>
          <w:szCs w:val="28"/>
        </w:rPr>
        <w:t xml:space="preserve"> Г.А., Богданова Р.У. Концептуальные основы воспитания студентов в </w:t>
      </w:r>
      <w:proofErr w:type="spellStart"/>
      <w:r w:rsidRPr="00A401B5">
        <w:rPr>
          <w:rFonts w:ascii="Times New Roman" w:hAnsi="Times New Roman" w:cs="Times New Roman"/>
          <w:sz w:val="28"/>
          <w:szCs w:val="28"/>
        </w:rPr>
        <w:t>Герценовском</w:t>
      </w:r>
      <w:proofErr w:type="spellEnd"/>
      <w:r w:rsidRPr="00A401B5">
        <w:rPr>
          <w:rFonts w:ascii="Times New Roman" w:hAnsi="Times New Roman" w:cs="Times New Roman"/>
          <w:sz w:val="28"/>
          <w:szCs w:val="28"/>
        </w:rPr>
        <w:t xml:space="preserve"> университете//Известия Российского государственного педагогического университета им. А</w:t>
      </w:r>
      <w:r w:rsidRPr="00A401B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401B5">
        <w:rPr>
          <w:rFonts w:ascii="Times New Roman" w:hAnsi="Times New Roman" w:cs="Times New Roman"/>
          <w:sz w:val="28"/>
          <w:szCs w:val="28"/>
        </w:rPr>
        <w:t>И</w:t>
      </w:r>
      <w:r w:rsidRPr="00A401B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401B5">
        <w:rPr>
          <w:rFonts w:ascii="Times New Roman" w:hAnsi="Times New Roman" w:cs="Times New Roman"/>
          <w:sz w:val="28"/>
          <w:szCs w:val="28"/>
        </w:rPr>
        <w:t>Герцена</w:t>
      </w:r>
      <w:r w:rsidRPr="00A401B5">
        <w:rPr>
          <w:rFonts w:ascii="Times New Roman" w:hAnsi="Times New Roman" w:cs="Times New Roman"/>
          <w:sz w:val="28"/>
          <w:szCs w:val="28"/>
          <w:lang w:val="en-US"/>
        </w:rPr>
        <w:t xml:space="preserve">. 2003. </w:t>
      </w:r>
      <w:r w:rsidRPr="00A401B5">
        <w:rPr>
          <w:rFonts w:ascii="Times New Roman" w:hAnsi="Times New Roman" w:cs="Times New Roman"/>
          <w:sz w:val="28"/>
          <w:szCs w:val="28"/>
        </w:rPr>
        <w:t>Т</w:t>
      </w:r>
      <w:r w:rsidRPr="00A401B5">
        <w:rPr>
          <w:rFonts w:ascii="Times New Roman" w:hAnsi="Times New Roman" w:cs="Times New Roman"/>
          <w:sz w:val="28"/>
          <w:szCs w:val="28"/>
          <w:lang w:val="en-US"/>
        </w:rPr>
        <w:t xml:space="preserve">. 3. № 6. </w:t>
      </w:r>
      <w:r w:rsidRPr="00A401B5">
        <w:rPr>
          <w:rFonts w:ascii="Times New Roman" w:hAnsi="Times New Roman" w:cs="Times New Roman"/>
          <w:sz w:val="28"/>
          <w:szCs w:val="28"/>
        </w:rPr>
        <w:t>С</w:t>
      </w:r>
      <w:r w:rsidRPr="00A401B5">
        <w:rPr>
          <w:rFonts w:ascii="Times New Roman" w:hAnsi="Times New Roman" w:cs="Times New Roman"/>
          <w:sz w:val="28"/>
          <w:szCs w:val="28"/>
          <w:lang w:val="en-US"/>
        </w:rPr>
        <w:t>. 7-16.</w:t>
      </w:r>
    </w:p>
    <w:p w14:paraId="1A46EDB9" w14:textId="77777777" w:rsidR="00B73AD0" w:rsidRPr="00A401B5" w:rsidRDefault="00B73AD0" w:rsidP="00B73A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1B5">
        <w:rPr>
          <w:rFonts w:ascii="Times New Roman" w:hAnsi="Times New Roman" w:cs="Times New Roman"/>
          <w:sz w:val="28"/>
          <w:szCs w:val="28"/>
        </w:rPr>
        <w:t>Бордовский</w:t>
      </w:r>
      <w:proofErr w:type="spellEnd"/>
      <w:r w:rsidRPr="00A401B5">
        <w:rPr>
          <w:rFonts w:ascii="Times New Roman" w:hAnsi="Times New Roman" w:cs="Times New Roman"/>
          <w:sz w:val="28"/>
          <w:szCs w:val="28"/>
        </w:rPr>
        <w:t xml:space="preserve"> Г.А. </w:t>
      </w:r>
      <w:r w:rsidR="00A401B5">
        <w:rPr>
          <w:rFonts w:ascii="Times New Roman" w:hAnsi="Times New Roman" w:cs="Times New Roman"/>
          <w:sz w:val="28"/>
          <w:szCs w:val="28"/>
        </w:rPr>
        <w:t>О</w:t>
      </w:r>
      <w:r w:rsidR="00A401B5" w:rsidRPr="00A401B5">
        <w:rPr>
          <w:rFonts w:ascii="Times New Roman" w:hAnsi="Times New Roman" w:cs="Times New Roman"/>
          <w:sz w:val="28"/>
          <w:szCs w:val="28"/>
        </w:rPr>
        <w:t>бразование как образ будущего</w:t>
      </w:r>
      <w:r w:rsidRPr="00A401B5">
        <w:rPr>
          <w:rFonts w:ascii="Times New Roman" w:hAnsi="Times New Roman" w:cs="Times New Roman"/>
          <w:sz w:val="28"/>
          <w:szCs w:val="28"/>
        </w:rPr>
        <w:t>//Высшее образование сегодня. 2021. № 4. С. 2-7.</w:t>
      </w:r>
    </w:p>
    <w:p w14:paraId="2E1A80E4" w14:textId="77777777" w:rsidR="00B73AD0" w:rsidRPr="00A401B5" w:rsidRDefault="00B73AD0" w:rsidP="00B73A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1B5">
        <w:rPr>
          <w:rFonts w:ascii="Times New Roman" w:hAnsi="Times New Roman" w:cs="Times New Roman"/>
          <w:sz w:val="28"/>
          <w:szCs w:val="28"/>
          <w:lang w:val="en-US"/>
        </w:rPr>
        <w:t xml:space="preserve">World Economic Forum 2019 Global Competitiveness Report 2019: How to end a lost decade of productivity growth. </w:t>
      </w:r>
      <w:r w:rsidRPr="00A401B5">
        <w:rPr>
          <w:rFonts w:ascii="Times New Roman" w:hAnsi="Times New Roman" w:cs="Times New Roman"/>
          <w:sz w:val="28"/>
          <w:szCs w:val="28"/>
        </w:rPr>
        <w:t>URL: https://www.weforum.org/reports/how-to-end-a-decade-of-lost-productivity-growth (дата обращения: 26.03.2022)</w:t>
      </w:r>
    </w:p>
    <w:p w14:paraId="49CF6486" w14:textId="77777777" w:rsidR="00B73AD0" w:rsidRPr="00A401B5" w:rsidRDefault="00B73AD0" w:rsidP="00B73A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1B5">
        <w:rPr>
          <w:rFonts w:ascii="Times New Roman" w:hAnsi="Times New Roman" w:cs="Times New Roman"/>
          <w:sz w:val="28"/>
          <w:szCs w:val="28"/>
        </w:rPr>
        <w:t xml:space="preserve">Роберт И.В. Информационная безопасность личности//Труды международного симпозиума </w:t>
      </w:r>
      <w:r w:rsidR="00A401B5">
        <w:rPr>
          <w:rFonts w:ascii="Times New Roman" w:hAnsi="Times New Roman" w:cs="Times New Roman"/>
          <w:sz w:val="28"/>
          <w:szCs w:val="28"/>
        </w:rPr>
        <w:t>«</w:t>
      </w:r>
      <w:r w:rsidRPr="00A401B5">
        <w:rPr>
          <w:rFonts w:ascii="Times New Roman" w:hAnsi="Times New Roman" w:cs="Times New Roman"/>
          <w:sz w:val="28"/>
          <w:szCs w:val="28"/>
        </w:rPr>
        <w:t>Надежность и качество</w:t>
      </w:r>
      <w:r w:rsidR="00A401B5">
        <w:rPr>
          <w:rFonts w:ascii="Times New Roman" w:hAnsi="Times New Roman" w:cs="Times New Roman"/>
          <w:sz w:val="28"/>
          <w:szCs w:val="28"/>
        </w:rPr>
        <w:t>»</w:t>
      </w:r>
      <w:r w:rsidRPr="00A401B5">
        <w:rPr>
          <w:rFonts w:ascii="Times New Roman" w:hAnsi="Times New Roman" w:cs="Times New Roman"/>
          <w:sz w:val="28"/>
          <w:szCs w:val="28"/>
        </w:rPr>
        <w:t>. 2018. Т. 1. С. 68-71.</w:t>
      </w:r>
    </w:p>
    <w:p w14:paraId="34503D46" w14:textId="77777777" w:rsidR="00B73AD0" w:rsidRPr="00A401B5" w:rsidRDefault="00B73AD0" w:rsidP="00B73A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1B5">
        <w:rPr>
          <w:rFonts w:ascii="Times New Roman" w:hAnsi="Times New Roman" w:cs="Times New Roman"/>
          <w:sz w:val="28"/>
          <w:szCs w:val="28"/>
        </w:rPr>
        <w:t xml:space="preserve">Роберт И.В., </w:t>
      </w:r>
      <w:proofErr w:type="spellStart"/>
      <w:r w:rsidRPr="00A401B5">
        <w:rPr>
          <w:rFonts w:ascii="Times New Roman" w:hAnsi="Times New Roman" w:cs="Times New Roman"/>
          <w:sz w:val="28"/>
          <w:szCs w:val="28"/>
        </w:rPr>
        <w:t>Мухаметзянов</w:t>
      </w:r>
      <w:proofErr w:type="spellEnd"/>
      <w:r w:rsidRPr="00A401B5">
        <w:rPr>
          <w:rFonts w:ascii="Times New Roman" w:hAnsi="Times New Roman" w:cs="Times New Roman"/>
          <w:sz w:val="28"/>
          <w:szCs w:val="28"/>
        </w:rPr>
        <w:t xml:space="preserve"> И.Ш., </w:t>
      </w:r>
      <w:proofErr w:type="spellStart"/>
      <w:r w:rsidRPr="00A401B5">
        <w:rPr>
          <w:rFonts w:ascii="Times New Roman" w:hAnsi="Times New Roman" w:cs="Times New Roman"/>
          <w:sz w:val="28"/>
          <w:szCs w:val="28"/>
        </w:rPr>
        <w:t>Касторнова</w:t>
      </w:r>
      <w:proofErr w:type="spellEnd"/>
      <w:r w:rsidRPr="00A401B5">
        <w:rPr>
          <w:rFonts w:ascii="Times New Roman" w:hAnsi="Times New Roman" w:cs="Times New Roman"/>
          <w:sz w:val="28"/>
          <w:szCs w:val="28"/>
        </w:rPr>
        <w:t xml:space="preserve"> В.А. Монография: Информационно-образовательное пространство. М.: ФГБНУ «ИУО РАО», 2017. – 92 с.</w:t>
      </w:r>
    </w:p>
    <w:p w14:paraId="054B830C" w14:textId="77777777" w:rsidR="00B73AD0" w:rsidRPr="00A401B5" w:rsidRDefault="00B73AD0" w:rsidP="00B73A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1B5">
        <w:rPr>
          <w:rFonts w:ascii="Times New Roman" w:hAnsi="Times New Roman" w:cs="Times New Roman"/>
          <w:sz w:val="28"/>
          <w:szCs w:val="28"/>
        </w:rPr>
        <w:t xml:space="preserve">Роберт И.В. Научно-педагогические практики как результат конвергенции педагогической науки и информационных и </w:t>
      </w:r>
      <w:r w:rsidRPr="00A401B5">
        <w:rPr>
          <w:rFonts w:ascii="Times New Roman" w:hAnsi="Times New Roman" w:cs="Times New Roman"/>
          <w:sz w:val="28"/>
          <w:szCs w:val="28"/>
        </w:rPr>
        <w:lastRenderedPageBreak/>
        <w:t>коммуникационных технологий // Педагогическая информатика – 2015 – № 3, с. 27-41</w:t>
      </w:r>
    </w:p>
    <w:p w14:paraId="3CEF03F4" w14:textId="77777777" w:rsidR="00B73AD0" w:rsidRPr="00A401B5" w:rsidRDefault="00B73AD0" w:rsidP="00B73A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1B5">
        <w:rPr>
          <w:rFonts w:ascii="Times New Roman" w:hAnsi="Times New Roman" w:cs="Times New Roman"/>
          <w:sz w:val="28"/>
          <w:szCs w:val="28"/>
        </w:rPr>
        <w:t>Роберт И.В. Направления развития информатизации отечественного образования периода цифровых информационных технологий//Электронные библиотеки. 2020. Т. 23. № 1-2. С. 145-164.</w:t>
      </w:r>
    </w:p>
    <w:p w14:paraId="38778201" w14:textId="77777777" w:rsidR="00B73AD0" w:rsidRPr="00A401B5" w:rsidRDefault="00B73AD0" w:rsidP="00B73A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1B5">
        <w:rPr>
          <w:rFonts w:ascii="Times New Roman" w:hAnsi="Times New Roman" w:cs="Times New Roman"/>
          <w:sz w:val="28"/>
          <w:szCs w:val="28"/>
        </w:rPr>
        <w:t>Бордовский</w:t>
      </w:r>
      <w:proofErr w:type="spellEnd"/>
      <w:r w:rsidRPr="00A401B5">
        <w:rPr>
          <w:rFonts w:ascii="Times New Roman" w:hAnsi="Times New Roman" w:cs="Times New Roman"/>
          <w:sz w:val="28"/>
          <w:szCs w:val="28"/>
        </w:rPr>
        <w:t xml:space="preserve"> Г.А., Шматко А.Д. Влияние пандемии COVID-19 на различные уровни образования //Экономика и управление. 2021. Т. 27. № 11. С. 872-877.</w:t>
      </w:r>
    </w:p>
    <w:p w14:paraId="5BC33C73" w14:textId="77777777" w:rsidR="00B73AD0" w:rsidRPr="00A401B5" w:rsidRDefault="00B73AD0" w:rsidP="00B73A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1B5">
        <w:rPr>
          <w:rFonts w:ascii="Times New Roman" w:hAnsi="Times New Roman" w:cs="Times New Roman"/>
          <w:sz w:val="28"/>
          <w:szCs w:val="28"/>
        </w:rPr>
        <w:t xml:space="preserve">Официальный сайт Росстат </w:t>
      </w:r>
      <w:hyperlink r:id="rId8" w:history="1"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gks</w:t>
        </w:r>
        <w:proofErr w:type="spellEnd"/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free</w:t>
        </w:r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new</w:t>
        </w:r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site</w:t>
        </w:r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GKS</w:t>
        </w:r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KDU</w:t>
        </w:r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</w:rPr>
          <w:t>_2021/</w:t>
        </w:r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401B5" w:rsidRPr="00A330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A401B5">
        <w:rPr>
          <w:rFonts w:ascii="Times New Roman" w:hAnsi="Times New Roman" w:cs="Times New Roman"/>
          <w:sz w:val="28"/>
          <w:szCs w:val="28"/>
        </w:rPr>
        <w:t xml:space="preserve"> </w:t>
      </w:r>
      <w:r w:rsidR="00A401B5" w:rsidRPr="00A401B5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A401B5">
        <w:rPr>
          <w:rFonts w:ascii="Times New Roman" w:hAnsi="Times New Roman" w:cs="Times New Roman"/>
          <w:sz w:val="28"/>
          <w:szCs w:val="28"/>
        </w:rPr>
        <w:t>30</w:t>
      </w:r>
      <w:r w:rsidR="00A401B5" w:rsidRPr="00A401B5">
        <w:rPr>
          <w:rFonts w:ascii="Times New Roman" w:hAnsi="Times New Roman" w:cs="Times New Roman"/>
          <w:sz w:val="28"/>
          <w:szCs w:val="28"/>
        </w:rPr>
        <w:t>.03.2022)</w:t>
      </w:r>
    </w:p>
    <w:p w14:paraId="6BF2EAAE" w14:textId="77777777" w:rsidR="00B73AD0" w:rsidRPr="00A401B5" w:rsidRDefault="00B73AD0" w:rsidP="00B73A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1B5">
        <w:rPr>
          <w:rFonts w:ascii="Times New Roman" w:hAnsi="Times New Roman" w:cs="Times New Roman"/>
          <w:sz w:val="28"/>
          <w:szCs w:val="28"/>
        </w:rPr>
        <w:t xml:space="preserve">Исследование проблем и тенденций развития высшего образования в современной России: сборник научных трудов / авт.-сост. Г. А. </w:t>
      </w:r>
      <w:proofErr w:type="spellStart"/>
      <w:r w:rsidRPr="00A401B5">
        <w:rPr>
          <w:rFonts w:ascii="Times New Roman" w:hAnsi="Times New Roman" w:cs="Times New Roman"/>
          <w:sz w:val="28"/>
          <w:szCs w:val="28"/>
        </w:rPr>
        <w:t>Бордовский</w:t>
      </w:r>
      <w:proofErr w:type="spellEnd"/>
      <w:r w:rsidRPr="00A401B5">
        <w:rPr>
          <w:rFonts w:ascii="Times New Roman" w:hAnsi="Times New Roman" w:cs="Times New Roman"/>
          <w:sz w:val="28"/>
          <w:szCs w:val="28"/>
        </w:rPr>
        <w:t>, А. Д. Шматко. — СПб.: ИПЦ СЗИУ РАНХиГС, 2021. — 308 с.</w:t>
      </w:r>
    </w:p>
    <w:p w14:paraId="61220C6C" w14:textId="77777777" w:rsidR="00B73AD0" w:rsidRPr="00A401B5" w:rsidRDefault="00B73AD0" w:rsidP="00B73A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1B5">
        <w:rPr>
          <w:rFonts w:ascii="Times New Roman" w:hAnsi="Times New Roman" w:cs="Times New Roman"/>
          <w:sz w:val="28"/>
          <w:szCs w:val="28"/>
        </w:rPr>
        <w:t xml:space="preserve">Маслова Ю.В. Позитивные и негативные аспекты использования компьютерных технологий у детей и подростков // Образовательные технологии и общество – Т.4 – №16. – 2013. Режим доступа: https://readera.org/pozitivnye-i-negativnye-aspekty-ispolzovanija-kompjuternyh-tehnologij-u-detej-i-14062522 (дата обращения: </w:t>
      </w:r>
      <w:r w:rsidR="00A401B5">
        <w:rPr>
          <w:rFonts w:ascii="Times New Roman" w:hAnsi="Times New Roman" w:cs="Times New Roman"/>
          <w:sz w:val="28"/>
          <w:szCs w:val="28"/>
        </w:rPr>
        <w:t>3</w:t>
      </w:r>
      <w:r w:rsidRPr="00A401B5">
        <w:rPr>
          <w:rFonts w:ascii="Times New Roman" w:hAnsi="Times New Roman" w:cs="Times New Roman"/>
          <w:sz w:val="28"/>
          <w:szCs w:val="28"/>
        </w:rPr>
        <w:t>1.</w:t>
      </w:r>
      <w:r w:rsidR="00A401B5">
        <w:rPr>
          <w:rFonts w:ascii="Times New Roman" w:hAnsi="Times New Roman" w:cs="Times New Roman"/>
          <w:sz w:val="28"/>
          <w:szCs w:val="28"/>
        </w:rPr>
        <w:t>03</w:t>
      </w:r>
      <w:r w:rsidRPr="00A401B5">
        <w:rPr>
          <w:rFonts w:ascii="Times New Roman" w:hAnsi="Times New Roman" w:cs="Times New Roman"/>
          <w:sz w:val="28"/>
          <w:szCs w:val="28"/>
        </w:rPr>
        <w:t>.202</w:t>
      </w:r>
      <w:r w:rsidR="00A401B5">
        <w:rPr>
          <w:rFonts w:ascii="Times New Roman" w:hAnsi="Times New Roman" w:cs="Times New Roman"/>
          <w:sz w:val="28"/>
          <w:szCs w:val="28"/>
        </w:rPr>
        <w:t>2</w:t>
      </w:r>
      <w:r w:rsidRPr="00A401B5">
        <w:rPr>
          <w:rFonts w:ascii="Times New Roman" w:hAnsi="Times New Roman" w:cs="Times New Roman"/>
          <w:sz w:val="28"/>
          <w:szCs w:val="28"/>
        </w:rPr>
        <w:t>).</w:t>
      </w:r>
    </w:p>
    <w:p w14:paraId="724364C5" w14:textId="77777777" w:rsidR="00B73AD0" w:rsidRPr="00A401B5" w:rsidRDefault="00B73AD0" w:rsidP="00B73A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1B5">
        <w:rPr>
          <w:rFonts w:ascii="Times New Roman" w:hAnsi="Times New Roman" w:cs="Times New Roman"/>
          <w:sz w:val="28"/>
          <w:szCs w:val="28"/>
        </w:rPr>
        <w:t>Боброва Т.О. Влияние компьютерных и информационных технологий на познавательно-интеллектуальные способности детей // Экономика и социум. – №3(22). – 2016. Режим доступа: https://readera.org/vlijanie-kompjuternyh-i-informacionnyh-tehnologij-na-poznavatelno-intellektualnye-140118554 (дата обращения: 26.03.2021).</w:t>
      </w:r>
    </w:p>
    <w:p w14:paraId="1E7DDC18" w14:textId="77777777" w:rsidR="0005756B" w:rsidRPr="00A401B5" w:rsidRDefault="005A6105" w:rsidP="008448B0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B5">
        <w:rPr>
          <w:rFonts w:ascii="Times New Roman" w:hAnsi="Times New Roman" w:cs="Times New Roman"/>
          <w:sz w:val="28"/>
          <w:szCs w:val="28"/>
        </w:rPr>
        <w:t xml:space="preserve">Чабаненко Александр Валерьевич, Степашкина Анна Сергеевна, Шматко Алексей Дмитриевич </w:t>
      </w:r>
      <w:r w:rsidR="007F6093" w:rsidRPr="00A401B5">
        <w:rPr>
          <w:rFonts w:ascii="Times New Roman" w:hAnsi="Times New Roman" w:cs="Times New Roman"/>
          <w:sz w:val="28"/>
          <w:szCs w:val="28"/>
        </w:rPr>
        <w:t>Онлайн-платформа для внедрения в образовательный процесс дисциплин "Цифровая метрология", "Основы искусственного интеллекта"</w:t>
      </w:r>
      <w:r w:rsidRPr="00A401B5">
        <w:rPr>
          <w:rFonts w:ascii="Times New Roman" w:hAnsi="Times New Roman" w:cs="Times New Roman"/>
          <w:sz w:val="28"/>
          <w:szCs w:val="28"/>
        </w:rPr>
        <w:t xml:space="preserve"> Свидетельство о регистрации базы данных  2022620356, 28.02.2022. Заявка № 2021623304 от 28.12.2021.</w:t>
      </w:r>
    </w:p>
    <w:sectPr w:rsidR="0005756B" w:rsidRPr="00A4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57F84"/>
    <w:multiLevelType w:val="hybridMultilevel"/>
    <w:tmpl w:val="8A265FDE"/>
    <w:lvl w:ilvl="0" w:tplc="237E2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58"/>
    <w:rsid w:val="0000308D"/>
    <w:rsid w:val="0005756B"/>
    <w:rsid w:val="000820C6"/>
    <w:rsid w:val="00141682"/>
    <w:rsid w:val="001742A3"/>
    <w:rsid w:val="001B265B"/>
    <w:rsid w:val="001D34EE"/>
    <w:rsid w:val="00300B1A"/>
    <w:rsid w:val="003038EE"/>
    <w:rsid w:val="00325700"/>
    <w:rsid w:val="00325C5D"/>
    <w:rsid w:val="003A4BCA"/>
    <w:rsid w:val="003C1C70"/>
    <w:rsid w:val="00406DA9"/>
    <w:rsid w:val="00434C8A"/>
    <w:rsid w:val="00447862"/>
    <w:rsid w:val="0053731A"/>
    <w:rsid w:val="00582A2A"/>
    <w:rsid w:val="005A6105"/>
    <w:rsid w:val="005A6BA9"/>
    <w:rsid w:val="005B04D7"/>
    <w:rsid w:val="005E467C"/>
    <w:rsid w:val="006B37D3"/>
    <w:rsid w:val="006F4EEF"/>
    <w:rsid w:val="007330AA"/>
    <w:rsid w:val="00760D49"/>
    <w:rsid w:val="00791837"/>
    <w:rsid w:val="007F6093"/>
    <w:rsid w:val="00816AA2"/>
    <w:rsid w:val="0081734C"/>
    <w:rsid w:val="0083422E"/>
    <w:rsid w:val="0086395A"/>
    <w:rsid w:val="008F3F58"/>
    <w:rsid w:val="00965599"/>
    <w:rsid w:val="00995503"/>
    <w:rsid w:val="00A100B0"/>
    <w:rsid w:val="00A401B5"/>
    <w:rsid w:val="00A62535"/>
    <w:rsid w:val="00AB39C0"/>
    <w:rsid w:val="00AC2C38"/>
    <w:rsid w:val="00B130BB"/>
    <w:rsid w:val="00B73AD0"/>
    <w:rsid w:val="00C02F4B"/>
    <w:rsid w:val="00DA5387"/>
    <w:rsid w:val="00E92D40"/>
    <w:rsid w:val="00E9484C"/>
    <w:rsid w:val="00F118B4"/>
    <w:rsid w:val="00F2609D"/>
    <w:rsid w:val="00F34932"/>
    <w:rsid w:val="00F508A1"/>
    <w:rsid w:val="00F6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1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58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0030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0030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0030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0030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0030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0030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0030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00308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rsid w:val="0000308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PlusNormal">
    <w:name w:val="ConsPlusNormal"/>
    <w:qFormat/>
    <w:rsid w:val="003A4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qFormat/>
    <w:rsid w:val="003A4BC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3731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B73AD0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character" w:styleId="a6">
    <w:name w:val="Hyperlink"/>
    <w:basedOn w:val="a0"/>
    <w:uiPriority w:val="99"/>
    <w:unhideWhenUsed/>
    <w:rsid w:val="00B73AD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2D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2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58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0030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0030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0030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0030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0030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0030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0030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00308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rsid w:val="0000308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PlusNormal">
    <w:name w:val="ConsPlusNormal"/>
    <w:qFormat/>
    <w:rsid w:val="003A4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qFormat/>
    <w:rsid w:val="003A4BC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3731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B73AD0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character" w:styleId="a6">
    <w:name w:val="Hyperlink"/>
    <w:basedOn w:val="a0"/>
    <w:uiPriority w:val="99"/>
    <w:unhideWhenUsed/>
    <w:rsid w:val="00B73AD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2D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2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s.ru/free_doc/new_site/GKS_KDU_2021/index.html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Лист2!$A$9:$G$9</c:f>
              <c:strCache>
                <c:ptCount val="7"/>
                <c:pt idx="0">
                  <c:v>металлургия, машиностроение и металлообработка</c:v>
                </c:pt>
                <c:pt idx="1">
                  <c:v>информатика и вычислительная техника</c:v>
                </c:pt>
                <c:pt idx="2">
                  <c:v>архитектура и строительство</c:v>
                </c:pt>
                <c:pt idx="3">
                  <c:v>юриспруденция</c:v>
                </c:pt>
                <c:pt idx="4">
                  <c:v>экономика и управление</c:v>
                </c:pt>
                <c:pt idx="5">
                  <c:v>здравоохранение</c:v>
                </c:pt>
                <c:pt idx="6">
                  <c:v>образование и педагогика</c:v>
                </c:pt>
              </c:strCache>
            </c:strRef>
          </c:cat>
          <c:val>
            <c:numRef>
              <c:f>Лист2!$A$10:$G$10</c:f>
              <c:numCache>
                <c:formatCode>General</c:formatCode>
                <c:ptCount val="7"/>
                <c:pt idx="0">
                  <c:v>52.7</c:v>
                </c:pt>
                <c:pt idx="1">
                  <c:v>73.900000000000006</c:v>
                </c:pt>
                <c:pt idx="2">
                  <c:v>47.4</c:v>
                </c:pt>
                <c:pt idx="3">
                  <c:v>28.9</c:v>
                </c:pt>
                <c:pt idx="4">
                  <c:v>46.6</c:v>
                </c:pt>
                <c:pt idx="5">
                  <c:v>54.6</c:v>
                </c:pt>
                <c:pt idx="6">
                  <c:v>34.799999999999997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50-411B-AD82-A39F766471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6064640"/>
        <c:axId val="76066176"/>
      </c:barChart>
      <c:catAx>
        <c:axId val="76064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066176"/>
        <c:crosses val="autoZero"/>
        <c:auto val="1"/>
        <c:lblAlgn val="ctr"/>
        <c:lblOffset val="100"/>
        <c:noMultiLvlLbl val="0"/>
      </c:catAx>
      <c:valAx>
        <c:axId val="76066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064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87AE-C156-4B9D-AE66-A8A8CF23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Редакция2</dc:creator>
  <cp:lastModifiedBy>RePack by Diakov</cp:lastModifiedBy>
  <cp:revision>2</cp:revision>
  <cp:lastPrinted>2022-03-30T09:16:00Z</cp:lastPrinted>
  <dcterms:created xsi:type="dcterms:W3CDTF">2022-04-04T19:08:00Z</dcterms:created>
  <dcterms:modified xsi:type="dcterms:W3CDTF">2022-04-04T19:08:00Z</dcterms:modified>
</cp:coreProperties>
</file>