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8F" w:rsidRDefault="003C3E8F" w:rsidP="00B4747B">
      <w:pPr>
        <w:spacing w:line="240" w:lineRule="auto"/>
        <w:ind w:right="-16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E8F">
        <w:rPr>
          <w:rFonts w:ascii="Times New Roman" w:hAnsi="Times New Roman" w:cs="Times New Roman"/>
          <w:b/>
          <w:sz w:val="24"/>
          <w:szCs w:val="24"/>
        </w:rPr>
        <w:t>Студенческое выбытие и академическая неустойчивость на примере Томского государственного университета</w:t>
      </w:r>
    </w:p>
    <w:p w:rsidR="00671B89" w:rsidRPr="003C3E8F" w:rsidRDefault="00671B89" w:rsidP="00B4747B">
      <w:pPr>
        <w:spacing w:line="240" w:lineRule="auto"/>
        <w:ind w:right="-16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E8F" w:rsidRDefault="003C3E8F" w:rsidP="00B4747B">
      <w:pPr>
        <w:tabs>
          <w:tab w:val="left" w:pos="8931"/>
        </w:tabs>
        <w:ind w:firstLine="567"/>
        <w:rPr>
          <w:rFonts w:ascii="Times New Roman" w:eastAsia="MS Mincho" w:hAnsi="Times New Roman" w:cs="Times New Roman"/>
          <w:sz w:val="24"/>
          <w:szCs w:val="24"/>
        </w:rPr>
      </w:pPr>
    </w:p>
    <w:p w:rsidR="00671B89" w:rsidRPr="00671B89" w:rsidRDefault="00671B89" w:rsidP="00B4747B">
      <w:pPr>
        <w:tabs>
          <w:tab w:val="left" w:pos="8931"/>
        </w:tabs>
        <w:ind w:firstLine="567"/>
        <w:jc w:val="lef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671B89">
        <w:rPr>
          <w:rFonts w:ascii="Times New Roman" w:eastAsia="MS Mincho" w:hAnsi="Times New Roman" w:cs="Times New Roman"/>
          <w:b/>
          <w:i/>
          <w:sz w:val="24"/>
          <w:szCs w:val="24"/>
        </w:rPr>
        <w:t>Сипкина А.Г.</w:t>
      </w:r>
    </w:p>
    <w:p w:rsidR="00671B89" w:rsidRDefault="00671B89" w:rsidP="00B4747B">
      <w:pPr>
        <w:tabs>
          <w:tab w:val="left" w:pos="8931"/>
        </w:tabs>
        <w:ind w:firstLine="567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71B89">
        <w:rPr>
          <w:rFonts w:ascii="Times New Roman" w:eastAsia="MS Mincho" w:hAnsi="Times New Roman" w:cs="Times New Roman"/>
          <w:sz w:val="24"/>
          <w:szCs w:val="24"/>
        </w:rPr>
        <w:t>студент</w:t>
      </w:r>
    </w:p>
    <w:p w:rsidR="00671B89" w:rsidRPr="00671B89" w:rsidRDefault="00671B89" w:rsidP="00B4747B">
      <w:pPr>
        <w:tabs>
          <w:tab w:val="left" w:pos="8931"/>
        </w:tabs>
        <w:ind w:firstLine="567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671B89">
        <w:rPr>
          <w:rFonts w:ascii="Times New Roman" w:eastAsia="MS Mincho" w:hAnsi="Times New Roman" w:cs="Times New Roman"/>
          <w:i/>
          <w:sz w:val="24"/>
          <w:szCs w:val="24"/>
        </w:rPr>
        <w:t>Томский государственный университет, г. Томск, Российская Федерация</w:t>
      </w:r>
    </w:p>
    <w:p w:rsidR="008E314A" w:rsidRPr="00B4747B" w:rsidRDefault="008E314A" w:rsidP="00B4747B">
      <w:pPr>
        <w:tabs>
          <w:tab w:val="left" w:pos="8931"/>
        </w:tabs>
        <w:ind w:firstLine="567"/>
        <w:jc w:val="left"/>
        <w:rPr>
          <w:rFonts w:ascii="Times New Roman" w:eastAsia="MS Mincho" w:hAnsi="Times New Roman" w:cs="Times New Roman"/>
          <w:sz w:val="24"/>
          <w:szCs w:val="24"/>
        </w:rPr>
      </w:pPr>
    </w:p>
    <w:p w:rsidR="00D2332F" w:rsidRDefault="00857CC3" w:rsidP="00D2332F">
      <w:pPr>
        <w:tabs>
          <w:tab w:val="left" w:pos="8931"/>
        </w:tabs>
        <w:ind w:firstLine="567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857CC3">
        <w:rPr>
          <w:rFonts w:ascii="Times New Roman" w:eastAsia="MS Mincho" w:hAnsi="Times New Roman" w:cs="Times New Roman"/>
          <w:b/>
          <w:sz w:val="24"/>
          <w:szCs w:val="24"/>
        </w:rPr>
        <w:t>Аннотация:</w:t>
      </w:r>
      <w:r w:rsidR="00342A08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342A08">
        <w:rPr>
          <w:rFonts w:ascii="Times New Roman" w:eastAsia="MS Mincho" w:hAnsi="Times New Roman" w:cs="Times New Roman"/>
          <w:sz w:val="24"/>
          <w:szCs w:val="24"/>
        </w:rPr>
        <w:t xml:space="preserve">В данной статье представлены результаты </w:t>
      </w:r>
      <w:r w:rsidR="00B4747B">
        <w:rPr>
          <w:rFonts w:ascii="Times New Roman" w:eastAsia="MS Mincho" w:hAnsi="Times New Roman" w:cs="Times New Roman"/>
          <w:sz w:val="24"/>
          <w:szCs w:val="24"/>
        </w:rPr>
        <w:t xml:space="preserve">социологического количественного </w:t>
      </w:r>
      <w:r w:rsidR="00342A08">
        <w:rPr>
          <w:rFonts w:ascii="Times New Roman" w:eastAsia="MS Mincho" w:hAnsi="Times New Roman" w:cs="Times New Roman"/>
          <w:sz w:val="24"/>
          <w:szCs w:val="24"/>
        </w:rPr>
        <w:t>исследования</w:t>
      </w:r>
      <w:r w:rsidR="00B4747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42A08">
        <w:rPr>
          <w:rFonts w:ascii="Times New Roman" w:eastAsia="MS Mincho" w:hAnsi="Times New Roman" w:cs="Times New Roman"/>
          <w:sz w:val="24"/>
          <w:szCs w:val="24"/>
        </w:rPr>
        <w:t>студенческого выбытия и академической неустойчивости</w:t>
      </w:r>
      <w:r w:rsidR="00B4747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B4747B">
        <w:rPr>
          <w:rFonts w:ascii="Times New Roman" w:eastAsia="MS Mincho" w:hAnsi="Times New Roman" w:cs="Times New Roman"/>
          <w:sz w:val="24"/>
          <w:szCs w:val="24"/>
        </w:rPr>
        <w:t>проведенного в мае 2021 года</w:t>
      </w:r>
      <w:r w:rsidR="00B4747B">
        <w:rPr>
          <w:rFonts w:ascii="Times New Roman" w:eastAsia="MS Mincho" w:hAnsi="Times New Roman" w:cs="Times New Roman"/>
          <w:sz w:val="24"/>
          <w:szCs w:val="24"/>
        </w:rPr>
        <w:t>,</w:t>
      </w:r>
      <w:r w:rsidR="00342A08">
        <w:rPr>
          <w:rFonts w:ascii="Times New Roman" w:eastAsia="MS Mincho" w:hAnsi="Times New Roman" w:cs="Times New Roman"/>
          <w:sz w:val="24"/>
          <w:szCs w:val="24"/>
        </w:rPr>
        <w:t xml:space="preserve"> на примере Томског</w:t>
      </w:r>
      <w:r w:rsidR="00B4747B">
        <w:rPr>
          <w:rFonts w:ascii="Times New Roman" w:eastAsia="MS Mincho" w:hAnsi="Times New Roman" w:cs="Times New Roman"/>
          <w:sz w:val="24"/>
          <w:szCs w:val="24"/>
        </w:rPr>
        <w:t>о государственного университета. Были изучены некоторые факторы, влияющие на данные феномены, а также подтверждены и опровергнуты гипотезы, поставленные в ходе исследования.</w:t>
      </w:r>
    </w:p>
    <w:p w:rsidR="00D2332F" w:rsidRPr="00D2332F" w:rsidRDefault="00D2332F" w:rsidP="00D2332F">
      <w:pPr>
        <w:tabs>
          <w:tab w:val="left" w:pos="8931"/>
        </w:tabs>
        <w:ind w:firstLine="567"/>
        <w:jc w:val="left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D2332F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Abstract:</w:t>
      </w:r>
      <w:r w:rsidRPr="00D2332F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This article presents the results of a sociological quantitative study of student attrition and academic instability conducted in May 2021, using the example of Tomsk State University. Some factors influencing these phenomena </w:t>
      </w:r>
      <w:proofErr w:type="gramStart"/>
      <w:r w:rsidRPr="00D2332F">
        <w:rPr>
          <w:rFonts w:ascii="Times New Roman" w:eastAsia="MS Mincho" w:hAnsi="Times New Roman" w:cs="Times New Roman"/>
          <w:sz w:val="24"/>
          <w:szCs w:val="24"/>
          <w:lang w:val="en-US"/>
        </w:rPr>
        <w:t>have been studied</w:t>
      </w:r>
      <w:proofErr w:type="gramEnd"/>
      <w:r w:rsidRPr="00D2332F">
        <w:rPr>
          <w:rFonts w:ascii="Times New Roman" w:eastAsia="MS Mincho" w:hAnsi="Times New Roman" w:cs="Times New Roman"/>
          <w:sz w:val="24"/>
          <w:szCs w:val="24"/>
          <w:lang w:val="en-US"/>
        </w:rPr>
        <w:t>, as well as the hypotheses put forward in the course of the study have been confirmed and refuted.</w:t>
      </w:r>
    </w:p>
    <w:p w:rsidR="00D2332F" w:rsidRDefault="008E314A" w:rsidP="00D2332F">
      <w:pPr>
        <w:tabs>
          <w:tab w:val="left" w:pos="8931"/>
        </w:tabs>
        <w:ind w:firstLine="567"/>
        <w:jc w:val="left"/>
        <w:rPr>
          <w:rFonts w:ascii="Times New Roman" w:eastAsia="MS Mincho" w:hAnsi="Times New Roman" w:cs="Times New Roman"/>
          <w:sz w:val="24"/>
          <w:szCs w:val="24"/>
        </w:rPr>
      </w:pPr>
      <w:r w:rsidRPr="008E314A">
        <w:rPr>
          <w:rFonts w:ascii="Times New Roman" w:eastAsia="MS Mincho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A0516">
        <w:rPr>
          <w:rFonts w:ascii="Times New Roman" w:hAnsi="Times New Roman" w:cs="Times New Roman"/>
          <w:sz w:val="24"/>
          <w:szCs w:val="24"/>
        </w:rPr>
        <w:t>ысшее образование</w:t>
      </w:r>
      <w:r>
        <w:rPr>
          <w:rFonts w:ascii="Times New Roman" w:hAnsi="Times New Roman" w:cs="Times New Roman"/>
          <w:sz w:val="24"/>
          <w:szCs w:val="24"/>
        </w:rPr>
        <w:t>, э</w:t>
      </w:r>
      <w:r w:rsidRPr="006A0516">
        <w:rPr>
          <w:rFonts w:ascii="Times New Roman" w:hAnsi="Times New Roman" w:cs="Times New Roman"/>
          <w:sz w:val="24"/>
          <w:szCs w:val="24"/>
        </w:rPr>
        <w:t>ффективность обучения</w:t>
      </w:r>
      <w:r>
        <w:rPr>
          <w:rFonts w:ascii="Times New Roman" w:hAnsi="Times New Roman" w:cs="Times New Roman"/>
          <w:sz w:val="24"/>
          <w:szCs w:val="24"/>
        </w:rPr>
        <w:t>, академическая устойчивость, студенческое выбытие, мотивация студентов</w:t>
      </w:r>
    </w:p>
    <w:p w:rsidR="00D2332F" w:rsidRPr="00D2332F" w:rsidRDefault="00D2332F" w:rsidP="00D2332F">
      <w:pPr>
        <w:tabs>
          <w:tab w:val="left" w:pos="8931"/>
        </w:tabs>
        <w:ind w:firstLine="567"/>
        <w:jc w:val="left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D233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Keywords: </w:t>
      </w:r>
      <w:r w:rsidRPr="00D2332F">
        <w:rPr>
          <w:rFonts w:ascii="Times New Roman" w:hAnsi="Times New Roman" w:cs="Times New Roman"/>
          <w:sz w:val="24"/>
          <w:szCs w:val="24"/>
          <w:lang w:val="en-US"/>
        </w:rPr>
        <w:t>higher education, learning efficiency, academic stability, student retirement, student motivation</w:t>
      </w:r>
    </w:p>
    <w:p w:rsidR="00D2332F" w:rsidRPr="00D2332F" w:rsidRDefault="00D2332F" w:rsidP="00B4747B">
      <w:pPr>
        <w:tabs>
          <w:tab w:val="left" w:pos="8931"/>
        </w:tabs>
        <w:ind w:firstLine="567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40C52" w:rsidRDefault="00840C52" w:rsidP="00B4747B">
      <w:pPr>
        <w:tabs>
          <w:tab w:val="left" w:pos="8931"/>
        </w:tabs>
        <w:ind w:firstLine="567"/>
        <w:jc w:val="left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  <w:r w:rsidRPr="00840C52">
        <w:rPr>
          <w:rFonts w:ascii="Times New Roman" w:eastAsia="MS Mincho" w:hAnsi="Times New Roman" w:cs="Times New Roman"/>
          <w:sz w:val="24"/>
          <w:szCs w:val="24"/>
        </w:rPr>
        <w:t>Проблема, связанная с отсевом студентов из российских вузов становится все более актуальной, так как она тесно связана с развитием экономики и образования.</w:t>
      </w:r>
    </w:p>
    <w:p w:rsidR="00217604" w:rsidRDefault="00217604" w:rsidP="00B4747B">
      <w:pPr>
        <w:tabs>
          <w:tab w:val="lef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Массовизация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высшего образования, развивающаяся в ходе социально-экономических преобразований трех последних десятилетий, создала условия для </w:t>
      </w:r>
      <w:r w:rsidRPr="00771E83">
        <w:rPr>
          <w:rFonts w:ascii="Times New Roman" w:hAnsi="Times New Roman" w:cs="Times New Roman"/>
          <w:sz w:val="24"/>
          <w:szCs w:val="24"/>
        </w:rPr>
        <w:t>многообразия образовательных учреждений и вариативности образовательных программ, для развития негосударственного сектора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Несомненно, эти изменения приносят как положительный эффект для развития экономики и благополучия граждан, поскольку </w:t>
      </w:r>
      <w:r w:rsidRPr="00771E83">
        <w:rPr>
          <w:rFonts w:ascii="Times New Roman" w:hAnsi="Times New Roman" w:cs="Times New Roman"/>
          <w:sz w:val="24"/>
          <w:szCs w:val="24"/>
        </w:rPr>
        <w:t>массовое высшее профессиональное образование становится базой демократизации общества, создает ос</w:t>
      </w:r>
      <w:r>
        <w:rPr>
          <w:rFonts w:ascii="Times New Roman" w:hAnsi="Times New Roman" w:cs="Times New Roman"/>
          <w:sz w:val="24"/>
          <w:szCs w:val="24"/>
        </w:rPr>
        <w:t xml:space="preserve">нову для социальной мобильности, </w:t>
      </w:r>
      <w:r w:rsidRPr="00771E83">
        <w:rPr>
          <w:rFonts w:ascii="Times New Roman" w:hAnsi="Times New Roman" w:cs="Times New Roman"/>
          <w:sz w:val="24"/>
          <w:szCs w:val="24"/>
        </w:rPr>
        <w:t>влияет на экономич</w:t>
      </w:r>
      <w:r>
        <w:rPr>
          <w:rFonts w:ascii="Times New Roman" w:hAnsi="Times New Roman" w:cs="Times New Roman"/>
          <w:sz w:val="24"/>
          <w:szCs w:val="24"/>
        </w:rPr>
        <w:t xml:space="preserve">ескую активность, личный доход и </w:t>
      </w:r>
      <w:r w:rsidRPr="00771E83">
        <w:rPr>
          <w:rFonts w:ascii="Times New Roman" w:hAnsi="Times New Roman" w:cs="Times New Roman"/>
          <w:sz w:val="24"/>
          <w:szCs w:val="24"/>
        </w:rPr>
        <w:t>занятость</w:t>
      </w:r>
      <w:r>
        <w:rPr>
          <w:rFonts w:ascii="Times New Roman" w:hAnsi="Times New Roman" w:cs="Times New Roman"/>
          <w:sz w:val="24"/>
          <w:szCs w:val="24"/>
        </w:rPr>
        <w:t xml:space="preserve">, так и являются причиной возникновения новых проблемных ситуаций в сфере высшего образования, таких, как повышение отсева и неустойчивости студентов </w:t>
      </w:r>
      <w:r w:rsidRPr="006A051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_Ref73396260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6A051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604" w:rsidRDefault="00217604" w:rsidP="00B4747B">
      <w:pPr>
        <w:tabs>
          <w:tab w:val="lef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одной стороны, высшее образование стало более доступным для широким масс населения, чего не было ранее, то с другой – для </w:t>
      </w:r>
      <w:r w:rsidRPr="00C07D31">
        <w:rPr>
          <w:rFonts w:ascii="Times New Roman" w:hAnsi="Times New Roman" w:cs="Times New Roman"/>
          <w:sz w:val="24"/>
          <w:szCs w:val="24"/>
        </w:rPr>
        <w:t xml:space="preserve">государства возникли дополнительные </w:t>
      </w:r>
      <w:r w:rsidRPr="00C07D31">
        <w:rPr>
          <w:rFonts w:ascii="Times New Roman" w:hAnsi="Times New Roman" w:cs="Times New Roman"/>
          <w:sz w:val="24"/>
          <w:szCs w:val="24"/>
        </w:rPr>
        <w:lastRenderedPageBreak/>
        <w:t>финансо</w:t>
      </w:r>
      <w:r>
        <w:rPr>
          <w:rFonts w:ascii="Times New Roman" w:hAnsi="Times New Roman" w:cs="Times New Roman"/>
          <w:sz w:val="24"/>
          <w:szCs w:val="24"/>
        </w:rPr>
        <w:t xml:space="preserve">вые расходы, снизилось качество </w:t>
      </w:r>
      <w:r w:rsidRPr="00C07D31">
        <w:rPr>
          <w:rFonts w:ascii="Times New Roman" w:hAnsi="Times New Roman" w:cs="Times New Roman"/>
          <w:sz w:val="24"/>
          <w:szCs w:val="24"/>
        </w:rPr>
        <w:t>подготовки выпускаемых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и увеличилась доля студентов, не завершающих обучение в вузе</w:t>
      </w:r>
      <w:r w:rsidRPr="00C07D31">
        <w:rPr>
          <w:rFonts w:ascii="Times New Roman" w:hAnsi="Times New Roman" w:cs="Times New Roman"/>
          <w:sz w:val="24"/>
          <w:szCs w:val="24"/>
        </w:rPr>
        <w:t xml:space="preserve"> </w:t>
      </w:r>
      <w:r w:rsidRPr="006A0516">
        <w:rPr>
          <w:rFonts w:ascii="Times New Roman" w:hAnsi="Times New Roman" w:cs="Times New Roman"/>
          <w:sz w:val="24"/>
          <w:szCs w:val="24"/>
        </w:rPr>
        <w:t>[</w:t>
      </w:r>
      <w:r w:rsidR="00857CC3">
        <w:rPr>
          <w:rFonts w:ascii="Times New Roman" w:hAnsi="Times New Roman" w:cs="Times New Roman"/>
          <w:sz w:val="24"/>
          <w:szCs w:val="24"/>
        </w:rPr>
        <w:t>3</w:t>
      </w:r>
      <w:r w:rsidRPr="006A051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0C52" w:rsidRPr="004A6A2E" w:rsidRDefault="00840C52" w:rsidP="00B4747B">
      <w:pPr>
        <w:tabs>
          <w:tab w:val="lef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A6A2E">
        <w:rPr>
          <w:rFonts w:ascii="Times New Roman" w:hAnsi="Times New Roman" w:cs="Times New Roman"/>
          <w:sz w:val="24"/>
          <w:szCs w:val="24"/>
        </w:rPr>
        <w:t>По оценкам ОЭСР, отчисленные студенты в РФ составляют 21% совокупной численности обучающихся в вузах (2010) [</w:t>
      </w:r>
      <w:r w:rsidR="00857CC3">
        <w:rPr>
          <w:rFonts w:ascii="Times New Roman" w:hAnsi="Times New Roman" w:cs="Times New Roman"/>
          <w:sz w:val="24"/>
          <w:szCs w:val="24"/>
        </w:rPr>
        <w:t>2</w:t>
      </w:r>
      <w:r w:rsidRPr="004A6A2E">
        <w:rPr>
          <w:rFonts w:ascii="Times New Roman" w:hAnsi="Times New Roman" w:cs="Times New Roman"/>
          <w:sz w:val="24"/>
          <w:szCs w:val="24"/>
        </w:rPr>
        <w:t>].</w:t>
      </w:r>
    </w:p>
    <w:p w:rsidR="00840C52" w:rsidRDefault="00840C52" w:rsidP="00B4747B">
      <w:pPr>
        <w:tabs>
          <w:tab w:val="lef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A6A2E">
        <w:rPr>
          <w:rFonts w:ascii="Times New Roman" w:hAnsi="Times New Roman" w:cs="Times New Roman"/>
          <w:sz w:val="24"/>
          <w:szCs w:val="24"/>
        </w:rPr>
        <w:t xml:space="preserve">Таким образом почти </w:t>
      </w:r>
      <w:r w:rsidRPr="004A6A2E">
        <w:rPr>
          <w:rFonts w:ascii="Cambria Math" w:hAnsi="Cambria Math" w:cs="Cambria Math"/>
          <w:sz w:val="24"/>
          <w:szCs w:val="24"/>
        </w:rPr>
        <w:t>⅕</w:t>
      </w:r>
      <w:r w:rsidRPr="004A6A2E">
        <w:rPr>
          <w:rFonts w:ascii="Times New Roman" w:hAnsi="Times New Roman" w:cs="Times New Roman"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sz w:val="24"/>
          <w:szCs w:val="24"/>
        </w:rPr>
        <w:t>студентов уходят из университетов</w:t>
      </w:r>
      <w:r w:rsidRPr="004A6A2E">
        <w:rPr>
          <w:rFonts w:ascii="Times New Roman" w:hAnsi="Times New Roman" w:cs="Times New Roman"/>
          <w:sz w:val="24"/>
          <w:szCs w:val="24"/>
        </w:rPr>
        <w:t>, причем лишь некоторая часть из них отчислена по причине плохой успеваемости, а остальные приним</w:t>
      </w:r>
      <w:r>
        <w:rPr>
          <w:rFonts w:ascii="Times New Roman" w:hAnsi="Times New Roman" w:cs="Times New Roman"/>
          <w:sz w:val="24"/>
          <w:szCs w:val="24"/>
        </w:rPr>
        <w:t>ают решение прекратить обучение</w:t>
      </w:r>
      <w:r w:rsidRPr="004A6A2E">
        <w:rPr>
          <w:rFonts w:ascii="Times New Roman" w:hAnsi="Times New Roman" w:cs="Times New Roman"/>
          <w:sz w:val="24"/>
          <w:szCs w:val="24"/>
        </w:rPr>
        <w:t xml:space="preserve"> по другим причинам. В связи с этим возникают вопросы - почему происходит </w:t>
      </w:r>
      <w:r>
        <w:rPr>
          <w:rFonts w:ascii="Times New Roman" w:hAnsi="Times New Roman" w:cs="Times New Roman"/>
          <w:sz w:val="24"/>
          <w:szCs w:val="24"/>
        </w:rPr>
        <w:t xml:space="preserve">отсев студентов, и какие конкретно проблемы у студентов Томского государственного университета возникают при обучении в университете,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чего они теряют мотивацию, а также почему бросают обучение в университете?</w:t>
      </w:r>
    </w:p>
    <w:p w:rsidR="00840C52" w:rsidRDefault="00840C52" w:rsidP="00B4747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E7257">
        <w:rPr>
          <w:rFonts w:ascii="Times New Roman" w:hAnsi="Times New Roman" w:cs="Times New Roman"/>
          <w:b/>
          <w:sz w:val="24"/>
          <w:szCs w:val="24"/>
        </w:rPr>
        <w:t>Научная новизна</w:t>
      </w:r>
      <w:r w:rsidRPr="003E7257">
        <w:rPr>
          <w:rFonts w:ascii="Times New Roman" w:hAnsi="Times New Roman" w:cs="Times New Roman"/>
          <w:sz w:val="24"/>
          <w:szCs w:val="24"/>
        </w:rPr>
        <w:t xml:space="preserve"> данной работы зак</w:t>
      </w:r>
      <w:r>
        <w:rPr>
          <w:rFonts w:ascii="Times New Roman" w:hAnsi="Times New Roman" w:cs="Times New Roman"/>
          <w:sz w:val="24"/>
          <w:szCs w:val="24"/>
        </w:rPr>
        <w:t>лючается в рассмотрении феноменов</w:t>
      </w:r>
      <w:r w:rsidRPr="003E7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студенческой устойчивости и отсева с использованием теоретической модели Уотсона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и в задаче выявить наиболее присущие российским вузам факторы, включенные в эту модель.</w:t>
      </w:r>
      <w:r w:rsidRPr="00840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C52" w:rsidRPr="00D07D9C" w:rsidRDefault="00840C52" w:rsidP="00B4747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80A848" wp14:editId="3DC49092">
            <wp:extent cx="5111115" cy="28591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JY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006" cy="286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89" w:rsidRDefault="00671B89" w:rsidP="00B4747B">
      <w:pPr>
        <w:pStyle w:val="a3"/>
        <w:ind w:firstLine="567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71B89">
        <w:rPr>
          <w:rFonts w:ascii="Times New Roman" w:hAnsi="Times New Roman" w:cs="Times New Roman"/>
          <w:color w:val="000000" w:themeColor="text1"/>
          <w:sz w:val="24"/>
          <w:szCs w:val="24"/>
        </w:rPr>
        <w:t>Рис. 1.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3D65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Геометрическая модель устойчивости и успеваемости студента У. </w:t>
      </w:r>
      <w:proofErr w:type="spellStart"/>
      <w:r w:rsidRPr="003D65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Свейла</w:t>
      </w:r>
      <w:proofErr w:type="spellEnd"/>
      <w:r w:rsidRPr="003D657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[</w:t>
      </w:r>
      <w:r w:rsidR="00217604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]</w:t>
      </w:r>
    </w:p>
    <w:p w:rsidR="00217604" w:rsidRPr="00217604" w:rsidRDefault="00217604" w:rsidP="00B4747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7D9C">
        <w:rPr>
          <w:rFonts w:ascii="Times New Roman" w:hAnsi="Times New Roman" w:cs="Times New Roman"/>
          <w:sz w:val="24"/>
          <w:szCs w:val="24"/>
        </w:rPr>
        <w:t>В середине мая 2021 года был проведен опрос</w:t>
      </w:r>
      <w:r>
        <w:rPr>
          <w:rFonts w:ascii="Times New Roman" w:hAnsi="Times New Roman" w:cs="Times New Roman"/>
          <w:sz w:val="24"/>
          <w:szCs w:val="24"/>
        </w:rPr>
        <w:t xml:space="preserve"> студентов </w:t>
      </w:r>
      <w:proofErr w:type="spellStart"/>
      <w:r w:rsidRPr="00D07D9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D07D9C">
        <w:rPr>
          <w:rFonts w:ascii="Times New Roman" w:hAnsi="Times New Roman" w:cs="Times New Roman"/>
          <w:sz w:val="24"/>
          <w:szCs w:val="24"/>
        </w:rPr>
        <w:t xml:space="preserve"> ТГУ</w:t>
      </w:r>
      <w:r>
        <w:rPr>
          <w:rFonts w:ascii="Times New Roman" w:hAnsi="Times New Roman" w:cs="Times New Roman"/>
          <w:sz w:val="24"/>
          <w:szCs w:val="24"/>
        </w:rPr>
        <w:t xml:space="preserve"> методом онлайн-анкетирования</w:t>
      </w:r>
      <w:r w:rsidRPr="00D07D9C">
        <w:rPr>
          <w:rFonts w:ascii="Times New Roman" w:hAnsi="Times New Roman" w:cs="Times New Roman"/>
          <w:sz w:val="24"/>
          <w:szCs w:val="24"/>
        </w:rPr>
        <w:t xml:space="preserve">, в ходе которого можно было выявить те или иные факторы, влияющие на академическую устойчивость студентов и, как следствие, их подверженность риску отсева. При обработке данных были рассмотрены основные тенденции, характеризующие студентов с точки зрения когнитивных, социальных и институциональных факторов </w:t>
      </w:r>
      <w:r>
        <w:rPr>
          <w:rFonts w:ascii="Times New Roman" w:hAnsi="Times New Roman" w:cs="Times New Roman"/>
          <w:sz w:val="24"/>
          <w:szCs w:val="24"/>
        </w:rPr>
        <w:t>определяющих академическую устойчивость</w:t>
      </w:r>
      <w:r w:rsidRPr="00D07D9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7D9C">
        <w:rPr>
          <w:rFonts w:ascii="Times New Roman" w:hAnsi="Times New Roman" w:cs="Times New Roman"/>
          <w:sz w:val="24"/>
          <w:szCs w:val="24"/>
        </w:rPr>
        <w:t xml:space="preserve">о У. </w:t>
      </w:r>
      <w:proofErr w:type="spellStart"/>
      <w:r w:rsidRPr="00D07D9C">
        <w:rPr>
          <w:rFonts w:ascii="Times New Roman" w:hAnsi="Times New Roman" w:cs="Times New Roman"/>
          <w:sz w:val="24"/>
          <w:szCs w:val="24"/>
        </w:rPr>
        <w:t>Свейлу</w:t>
      </w:r>
      <w:proofErr w:type="spellEnd"/>
      <w:r w:rsidRPr="00D07D9C">
        <w:rPr>
          <w:rFonts w:ascii="Times New Roman" w:hAnsi="Times New Roman" w:cs="Times New Roman"/>
          <w:sz w:val="24"/>
          <w:szCs w:val="24"/>
        </w:rPr>
        <w:t xml:space="preserve">). Также были выявлены собственное отношение студентов к их неустойчивости и меры, которые, по их мнению, могут служить профилактикой академических задолженностей и отчислений. </w:t>
      </w:r>
    </w:p>
    <w:p w:rsidR="00D22E84" w:rsidRDefault="003C3E8F" w:rsidP="00B4747B">
      <w:pPr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влияния </w:t>
      </w:r>
      <w:r w:rsidR="00751C84">
        <w:rPr>
          <w:rFonts w:ascii="Times New Roman" w:hAnsi="Times New Roman" w:cs="Times New Roman"/>
          <w:sz w:val="24"/>
          <w:szCs w:val="24"/>
        </w:rPr>
        <w:t xml:space="preserve">факторов, было установлено, что такие когнитивные характеристики студента, как самоопределение и карьерные цели, связанные с </w:t>
      </w:r>
      <w:r w:rsidR="00751C84">
        <w:rPr>
          <w:rFonts w:ascii="Times New Roman" w:hAnsi="Times New Roman" w:cs="Times New Roman"/>
          <w:sz w:val="24"/>
          <w:szCs w:val="24"/>
        </w:rPr>
        <w:lastRenderedPageBreak/>
        <w:t>профессиональной целенаправленностью влияют на устойчивость таким образом, что студенты, связывающие получение высшего образования с карьерой и большим заработком оказываются более успешными и устойчивыми в учебе чем те, кто в большей степени склонен поступать в университет ради общего развития, по требованию родителей или ради переезда в другой город</w:t>
      </w:r>
      <w:r w:rsidR="00751C84" w:rsidRPr="00C27936">
        <w:rPr>
          <w:rFonts w:ascii="Times New Roman" w:hAnsi="Times New Roman" w:cs="Times New Roman"/>
          <w:sz w:val="24"/>
          <w:szCs w:val="24"/>
        </w:rPr>
        <w:t>/</w:t>
      </w:r>
      <w:r w:rsidR="00751C84">
        <w:rPr>
          <w:rFonts w:ascii="Times New Roman" w:eastAsia="MS Mincho" w:hAnsi="Times New Roman" w:cs="Times New Roman"/>
          <w:sz w:val="24"/>
          <w:szCs w:val="24"/>
        </w:rPr>
        <w:t>страну.</w:t>
      </w:r>
    </w:p>
    <w:p w:rsidR="003C3E8F" w:rsidRPr="00AD16E5" w:rsidRDefault="003C3E8F" w:rsidP="00B4747B">
      <w:pPr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533CC3" wp14:editId="2C4EF8C1">
            <wp:extent cx="5347880" cy="2921343"/>
            <wp:effectExtent l="0" t="0" r="5715" b="1270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3E8F" w:rsidRDefault="003C3E8F" w:rsidP="00B4747B">
      <w:pPr>
        <w:keepNext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Рис.</w:t>
      </w:r>
      <w:r w:rsidRPr="003C3E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21760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7E1">
        <w:rPr>
          <w:rFonts w:ascii="Times New Roman" w:hAnsi="Times New Roman" w:cs="Times New Roman"/>
          <w:sz w:val="24"/>
          <w:szCs w:val="24"/>
        </w:rPr>
        <w:t>–</w:t>
      </w:r>
      <w:r w:rsidRPr="00A945B6">
        <w:rPr>
          <w:rFonts w:ascii="Times New Roman" w:hAnsi="Times New Roman" w:cs="Times New Roman"/>
          <w:sz w:val="24"/>
          <w:szCs w:val="24"/>
        </w:rPr>
        <w:t xml:space="preserve"> Распределение ответов на вопрос "Укажите основные причины, по которым вы получаете высшее образование» </w:t>
      </w:r>
      <w:r>
        <w:rPr>
          <w:rFonts w:ascii="Times New Roman" w:hAnsi="Times New Roman" w:cs="Times New Roman"/>
          <w:sz w:val="24"/>
          <w:szCs w:val="24"/>
        </w:rPr>
        <w:t>(в процентах)</w:t>
      </w:r>
    </w:p>
    <w:p w:rsidR="003C3E8F" w:rsidRDefault="003C3E8F" w:rsidP="00B4747B">
      <w:pPr>
        <w:ind w:firstLine="567"/>
      </w:pPr>
    </w:p>
    <w:p w:rsidR="003C3E8F" w:rsidRDefault="003C3E8F" w:rsidP="00B4747B">
      <w:pPr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Что касаемо влияния уровня развития навыков самоорганизации, то здесь прослеживается положительная линейная корреляционная связь между устойчивостью и уровнем развития таких навыков, как тайм-менеджмент, дисциплинированность, планирование и постановка целей. </w:t>
      </w:r>
    </w:p>
    <w:p w:rsidR="00217604" w:rsidRDefault="003C3E8F" w:rsidP="00B4747B">
      <w:pPr>
        <w:pStyle w:val="a3"/>
        <w:keepNext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7404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Таблица </w:t>
      </w:r>
      <w:r w:rsidRPr="00C7404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C7404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Таблица \* ARABIC </w:instrText>
      </w:r>
      <w:r w:rsidRPr="00C7404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C7404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:rsidR="003C3E8F" w:rsidRPr="00C7404A" w:rsidRDefault="003C3E8F" w:rsidP="00B4747B">
      <w:pPr>
        <w:pStyle w:val="a3"/>
        <w:keepNext/>
        <w:spacing w:after="0"/>
        <w:ind w:firstLine="567"/>
        <w:jc w:val="lef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00C7404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Корелляционная</w:t>
      </w:r>
      <w:proofErr w:type="spellEnd"/>
      <w:r w:rsidRPr="00C7404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взаимосвязь успеваемости студентов и развитости навыков самоорганизации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382"/>
        <w:gridCol w:w="2835"/>
        <w:gridCol w:w="1417"/>
      </w:tblGrid>
      <w:tr w:rsidR="003C3E8F" w:rsidRPr="00585C64" w:rsidTr="00942A70">
        <w:trPr>
          <w:trHeight w:val="647"/>
        </w:trPr>
        <w:tc>
          <w:tcPr>
            <w:tcW w:w="5382" w:type="dxa"/>
            <w:noWrap/>
            <w:hideMark/>
          </w:tcPr>
          <w:p w:rsidR="003C3E8F" w:rsidRPr="00585C64" w:rsidRDefault="003C3E8F" w:rsidP="00B4747B">
            <w:pPr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Спирмана</w:t>
            </w:r>
            <w:proofErr w:type="spellEnd"/>
          </w:p>
        </w:tc>
        <w:tc>
          <w:tcPr>
            <w:tcW w:w="2835" w:type="dxa"/>
            <w:noWrap/>
            <w:hideMark/>
          </w:tcPr>
          <w:p w:rsidR="003C3E8F" w:rsidRPr="00585C64" w:rsidRDefault="003C3E8F" w:rsidP="00B4747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Успеваемость в целом</w:t>
            </w:r>
          </w:p>
        </w:tc>
        <w:tc>
          <w:tcPr>
            <w:tcW w:w="1417" w:type="dxa"/>
            <w:noWrap/>
            <w:hideMark/>
          </w:tcPr>
          <w:p w:rsidR="003C3E8F" w:rsidRPr="00585C64" w:rsidRDefault="003C3E8F" w:rsidP="00B4747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Знач. (2-х </w:t>
            </w: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сторонняя)</w:t>
            </w:r>
          </w:p>
        </w:tc>
      </w:tr>
      <w:tr w:rsidR="003C3E8F" w:rsidRPr="00585C64" w:rsidTr="00942A70">
        <w:trPr>
          <w:trHeight w:val="300"/>
        </w:trPr>
        <w:tc>
          <w:tcPr>
            <w:tcW w:w="5382" w:type="dxa"/>
            <w:noWrap/>
            <w:hideMark/>
          </w:tcPr>
          <w:p w:rsidR="003C3E8F" w:rsidRPr="00585C64" w:rsidRDefault="003C3E8F" w:rsidP="00B4747B">
            <w:pPr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2835" w:type="dxa"/>
            <w:noWrap/>
            <w:hideMark/>
          </w:tcPr>
          <w:p w:rsidR="003C3E8F" w:rsidRPr="00585C64" w:rsidRDefault="003C3E8F" w:rsidP="00B4747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,325</w:t>
            </w:r>
            <w:r w:rsidRPr="00585C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17" w:type="dxa"/>
            <w:noWrap/>
            <w:hideMark/>
          </w:tcPr>
          <w:p w:rsidR="003C3E8F" w:rsidRPr="00585C64" w:rsidRDefault="003C3E8F" w:rsidP="00B4747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8F" w:rsidRPr="00585C64" w:rsidTr="00942A70">
        <w:trPr>
          <w:trHeight w:val="300"/>
        </w:trPr>
        <w:tc>
          <w:tcPr>
            <w:tcW w:w="5382" w:type="dxa"/>
            <w:noWrap/>
            <w:hideMark/>
          </w:tcPr>
          <w:p w:rsidR="003C3E8F" w:rsidRPr="00585C64" w:rsidRDefault="003C3E8F" w:rsidP="00B4747B">
            <w:pPr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Навыки тайм-менеджмента</w:t>
            </w:r>
          </w:p>
        </w:tc>
        <w:tc>
          <w:tcPr>
            <w:tcW w:w="2835" w:type="dxa"/>
            <w:noWrap/>
            <w:hideMark/>
          </w:tcPr>
          <w:p w:rsidR="003C3E8F" w:rsidRPr="00585C64" w:rsidRDefault="003C3E8F" w:rsidP="00B4747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,449</w:t>
            </w:r>
            <w:r w:rsidRPr="00585C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17" w:type="dxa"/>
            <w:noWrap/>
            <w:hideMark/>
          </w:tcPr>
          <w:p w:rsidR="003C3E8F" w:rsidRPr="00585C64" w:rsidRDefault="003C3E8F" w:rsidP="00B4747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8F" w:rsidRPr="00585C64" w:rsidTr="00942A70">
        <w:trPr>
          <w:trHeight w:val="300"/>
        </w:trPr>
        <w:tc>
          <w:tcPr>
            <w:tcW w:w="5382" w:type="dxa"/>
            <w:noWrap/>
            <w:hideMark/>
          </w:tcPr>
          <w:p w:rsidR="003C3E8F" w:rsidRPr="00585C64" w:rsidRDefault="003C3E8F" w:rsidP="00B4747B">
            <w:pPr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835" w:type="dxa"/>
            <w:noWrap/>
            <w:hideMark/>
          </w:tcPr>
          <w:p w:rsidR="003C3E8F" w:rsidRPr="00585C64" w:rsidRDefault="003C3E8F" w:rsidP="00B4747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,388</w:t>
            </w:r>
            <w:r w:rsidRPr="00585C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17" w:type="dxa"/>
            <w:noWrap/>
            <w:hideMark/>
          </w:tcPr>
          <w:p w:rsidR="003C3E8F" w:rsidRPr="00585C64" w:rsidRDefault="003C3E8F" w:rsidP="00B4747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8F" w:rsidRPr="00585C64" w:rsidTr="00942A70">
        <w:trPr>
          <w:trHeight w:val="300"/>
        </w:trPr>
        <w:tc>
          <w:tcPr>
            <w:tcW w:w="5382" w:type="dxa"/>
            <w:noWrap/>
            <w:hideMark/>
          </w:tcPr>
          <w:p w:rsidR="003C3E8F" w:rsidRPr="00585C64" w:rsidRDefault="003C3E8F" w:rsidP="00B4747B">
            <w:pPr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Постановка целей</w:t>
            </w:r>
          </w:p>
        </w:tc>
        <w:tc>
          <w:tcPr>
            <w:tcW w:w="2835" w:type="dxa"/>
            <w:noWrap/>
            <w:hideMark/>
          </w:tcPr>
          <w:p w:rsidR="003C3E8F" w:rsidRPr="00585C64" w:rsidRDefault="003C3E8F" w:rsidP="00B4747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,314</w:t>
            </w:r>
            <w:r w:rsidRPr="00585C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17" w:type="dxa"/>
            <w:noWrap/>
            <w:hideMark/>
          </w:tcPr>
          <w:p w:rsidR="003C3E8F" w:rsidRPr="00585C64" w:rsidRDefault="003C3E8F" w:rsidP="00B4747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8F" w:rsidRPr="00585C64" w:rsidTr="00942A70">
        <w:trPr>
          <w:trHeight w:val="300"/>
        </w:trPr>
        <w:tc>
          <w:tcPr>
            <w:tcW w:w="5382" w:type="dxa"/>
            <w:noWrap/>
            <w:hideMark/>
          </w:tcPr>
          <w:p w:rsidR="003C3E8F" w:rsidRPr="00585C64" w:rsidRDefault="003C3E8F" w:rsidP="00B4747B">
            <w:pPr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Навык критического мышления</w:t>
            </w:r>
          </w:p>
        </w:tc>
        <w:tc>
          <w:tcPr>
            <w:tcW w:w="2835" w:type="dxa"/>
            <w:noWrap/>
            <w:hideMark/>
          </w:tcPr>
          <w:p w:rsidR="003C3E8F" w:rsidRPr="00585C64" w:rsidRDefault="003C3E8F" w:rsidP="00B4747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,248</w:t>
            </w:r>
            <w:r w:rsidRPr="00585C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17" w:type="dxa"/>
            <w:noWrap/>
            <w:hideMark/>
          </w:tcPr>
          <w:p w:rsidR="003C3E8F" w:rsidRPr="00585C64" w:rsidRDefault="003C3E8F" w:rsidP="00B4747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C3E8F" w:rsidRPr="00315B84" w:rsidTr="00942A70">
        <w:trPr>
          <w:trHeight w:val="300"/>
        </w:trPr>
        <w:tc>
          <w:tcPr>
            <w:tcW w:w="5382" w:type="dxa"/>
            <w:noWrap/>
            <w:hideMark/>
          </w:tcPr>
          <w:p w:rsidR="003C3E8F" w:rsidRPr="00585C64" w:rsidRDefault="003C3E8F" w:rsidP="00B4747B">
            <w:pPr>
              <w:keepNext/>
              <w:ind w:firstLine="567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Навык учиться (делать конспекты, распределять учебные задачи, искать учебные материалы и др.)</w:t>
            </w:r>
          </w:p>
        </w:tc>
        <w:tc>
          <w:tcPr>
            <w:tcW w:w="2835" w:type="dxa"/>
            <w:noWrap/>
            <w:hideMark/>
          </w:tcPr>
          <w:p w:rsidR="003C3E8F" w:rsidRPr="00585C64" w:rsidRDefault="003C3E8F" w:rsidP="00B4747B">
            <w:pPr>
              <w:keepNext/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noProof/>
                <w:sz w:val="24"/>
                <w:szCs w:val="24"/>
              </w:rPr>
              <w:t>,268</w:t>
            </w:r>
            <w:r w:rsidRPr="00315B84">
              <w:rPr>
                <w:rFonts w:ascii="Times New Roman" w:hAnsi="Times New Roman" w:cs="Times New Roman"/>
                <w:noProof/>
                <w:sz w:val="24"/>
                <w:szCs w:val="24"/>
              </w:rPr>
              <w:t>**</w:t>
            </w:r>
          </w:p>
        </w:tc>
        <w:tc>
          <w:tcPr>
            <w:tcW w:w="1417" w:type="dxa"/>
            <w:noWrap/>
            <w:hideMark/>
          </w:tcPr>
          <w:p w:rsidR="003C3E8F" w:rsidRPr="00585C64" w:rsidRDefault="003C3E8F" w:rsidP="00B4747B">
            <w:pPr>
              <w:keepNext/>
              <w:ind w:firstLine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85C64">
              <w:rPr>
                <w:rFonts w:ascii="Times New Roman" w:hAnsi="Times New Roman" w:cs="Times New Roman"/>
                <w:noProof/>
                <w:sz w:val="24"/>
                <w:szCs w:val="24"/>
              </w:rPr>
              <w:t>0,00</w:t>
            </w:r>
          </w:p>
        </w:tc>
      </w:tr>
    </w:tbl>
    <w:p w:rsidR="003C3E8F" w:rsidRDefault="003C3E8F" w:rsidP="00B4747B">
      <w:pPr>
        <w:ind w:firstLine="567"/>
        <w:rPr>
          <w:rFonts w:ascii="Times New Roman" w:hAnsi="Times New Roman" w:cs="Times New Roman"/>
          <w:noProof/>
          <w:sz w:val="24"/>
          <w:szCs w:val="24"/>
        </w:rPr>
      </w:pPr>
    </w:p>
    <w:p w:rsidR="003C3E8F" w:rsidRDefault="003C3E8F" w:rsidP="00B4747B">
      <w:pPr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Измерение влияния социальных факторов, таких как влияние дополнительной занятости и работы, а также уровень адаптации к студенческой жизни, то здесь получились неоднозначные выводы, раскрывающие тот факт, что дополнительная занятость и работа могут как мотивировать студентов и придавать им сил, так и отнимать время от учебы. Можно сказать, что гипотеза, предполагающая повышение рисков быть отчисленным из-за работы и сторонней занятости не подтвердилась. </w:t>
      </w:r>
    </w:p>
    <w:p w:rsidR="003C3E8F" w:rsidRDefault="003C3E8F" w:rsidP="00B4747B">
      <w:pPr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5BD249" wp14:editId="1A9F2C43">
            <wp:extent cx="4570455" cy="2732902"/>
            <wp:effectExtent l="0" t="0" r="1905" b="1079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3E8F" w:rsidRDefault="00217604" w:rsidP="00B4747B">
      <w:pPr>
        <w:ind w:firstLine="567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7604">
        <w:rPr>
          <w:rFonts w:ascii="Times New Roman" w:hAnsi="Times New Roman" w:cs="Times New Roman"/>
          <w:i/>
          <w:noProof/>
          <w:sz w:val="24"/>
          <w:szCs w:val="24"/>
        </w:rPr>
        <w:t>Рис. 3.</w:t>
      </w:r>
      <w:r w:rsidR="003C3E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C3E8F" w:rsidRPr="008949D1">
        <w:rPr>
          <w:rFonts w:ascii="Times New Roman" w:hAnsi="Times New Roman" w:cs="Times New Roman"/>
          <w:noProof/>
          <w:sz w:val="24"/>
          <w:szCs w:val="24"/>
        </w:rPr>
        <w:t>Распределение ответов на вопрос "</w:t>
      </w:r>
      <w:r w:rsidR="003C3E8F" w:rsidRPr="008949D1">
        <w:rPr>
          <w:rFonts w:ascii="Times New Roman" w:hAnsi="Times New Roman" w:cs="Times New Roman" w:hint="cs"/>
          <w:noProof/>
          <w:sz w:val="24"/>
          <w:szCs w:val="24"/>
        </w:rPr>
        <w:t>Каким</w:t>
      </w:r>
      <w:r w:rsidR="003C3E8F" w:rsidRPr="008949D1">
        <w:rPr>
          <w:rFonts w:ascii="Times New Roman" w:hAnsi="Times New Roman" w:cs="Times New Roman"/>
          <w:noProof/>
          <w:sz w:val="24"/>
          <w:szCs w:val="24"/>
        </w:rPr>
        <w:t xml:space="preserve"> образом дополнительная занятость влияет на вашу учебу в университете?" </w:t>
      </w:r>
      <w:r w:rsidR="003C3E8F" w:rsidRPr="00500D90">
        <w:rPr>
          <w:rFonts w:ascii="Times New Roman" w:hAnsi="Times New Roman" w:cs="Times New Roman"/>
          <w:noProof/>
          <w:sz w:val="24"/>
          <w:szCs w:val="24"/>
        </w:rPr>
        <w:t>(</w:t>
      </w:r>
      <w:r w:rsidR="003C3E8F">
        <w:rPr>
          <w:rFonts w:ascii="Times New Roman" w:hAnsi="Times New Roman" w:cs="Times New Roman"/>
          <w:noProof/>
          <w:sz w:val="24"/>
          <w:szCs w:val="24"/>
          <w:lang w:eastAsia="ja-JP"/>
        </w:rPr>
        <w:t>в процентах)</w:t>
      </w:r>
    </w:p>
    <w:p w:rsidR="003C3E8F" w:rsidRDefault="003C3E8F" w:rsidP="00B4747B">
      <w:pPr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То же самое касается характера влияния адаптации, поскольку как академически успешные, так и неуспешные студенты отмечают примерно одинаковые трудности, с которыми они столкнулись в первое время обучения в вузе. </w:t>
      </w:r>
    </w:p>
    <w:p w:rsidR="003C3E8F" w:rsidRPr="00180E7D" w:rsidRDefault="003C3E8F" w:rsidP="00B4747B">
      <w:pPr>
        <w:keepNext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71C7214" wp14:editId="79515083">
            <wp:extent cx="3669610" cy="2681081"/>
            <wp:effectExtent l="0" t="0" r="7620" b="508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3E8F" w:rsidRDefault="00217604" w:rsidP="00B4747B">
      <w:pPr>
        <w:keepNext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17604">
        <w:rPr>
          <w:rFonts w:ascii="Times New Roman" w:hAnsi="Times New Roman" w:cs="Times New Roman"/>
          <w:i/>
          <w:noProof/>
          <w:sz w:val="24"/>
          <w:szCs w:val="24"/>
        </w:rPr>
        <w:t>Рис. 4.</w:t>
      </w:r>
      <w:r w:rsidR="003C3E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C3E8F" w:rsidRPr="007C57E1">
        <w:rPr>
          <w:rFonts w:ascii="Times New Roman" w:hAnsi="Times New Roman" w:cs="Times New Roman"/>
          <w:sz w:val="24"/>
          <w:szCs w:val="24"/>
        </w:rPr>
        <w:t>–</w:t>
      </w:r>
      <w:r w:rsidR="003C3E8F" w:rsidRPr="00885B8F">
        <w:rPr>
          <w:rFonts w:ascii="Times New Roman" w:hAnsi="Times New Roman" w:cs="Times New Roman"/>
          <w:noProof/>
          <w:sz w:val="24"/>
          <w:szCs w:val="24"/>
        </w:rPr>
        <w:t xml:space="preserve"> Распределение ответов на вопрос "</w:t>
      </w:r>
      <w:r w:rsidR="003C3E8F" w:rsidRPr="00885B8F">
        <w:rPr>
          <w:rFonts w:ascii="Times New Roman" w:hAnsi="Times New Roman" w:cs="Times New Roman" w:hint="cs"/>
          <w:noProof/>
          <w:sz w:val="24"/>
          <w:szCs w:val="24"/>
        </w:rPr>
        <w:t>С</w:t>
      </w:r>
      <w:r w:rsidR="003C3E8F" w:rsidRPr="00885B8F">
        <w:rPr>
          <w:rFonts w:ascii="Times New Roman" w:hAnsi="Times New Roman" w:cs="Times New Roman"/>
          <w:noProof/>
          <w:sz w:val="24"/>
          <w:szCs w:val="24"/>
        </w:rPr>
        <w:t xml:space="preserve"> чем у вас возникли трудности при адаптации к новому образу жизни (студенческому)?" </w:t>
      </w:r>
      <w:r w:rsidR="003C3E8F">
        <w:rPr>
          <w:rFonts w:ascii="Times New Roman" w:hAnsi="Times New Roman" w:cs="Times New Roman"/>
          <w:noProof/>
          <w:sz w:val="24"/>
          <w:szCs w:val="24"/>
        </w:rPr>
        <w:t>(в процентах)</w:t>
      </w:r>
    </w:p>
    <w:p w:rsidR="003C3E8F" w:rsidRDefault="003C3E8F" w:rsidP="00B4747B">
      <w:pPr>
        <w:ind w:firstLine="567"/>
        <w:rPr>
          <w:rFonts w:ascii="Times New Roman" w:eastAsia="MS Mincho" w:hAnsi="Times New Roman" w:cs="Times New Roman"/>
          <w:sz w:val="24"/>
          <w:szCs w:val="24"/>
        </w:rPr>
      </w:pPr>
    </w:p>
    <w:p w:rsidR="003C3E8F" w:rsidRDefault="003C3E8F" w:rsidP="00B4747B">
      <w:pPr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Наконец, анализ факторов, относящихся к институциональным характеристикам вуза, а именно тем, что связаны с учебным процессом, а также работой деканатов, показал, что в целом, как академически устойчивые, так и неустойчивые студенты примерно одинаково оценивают аспекты учебного процесса, выделяя наиболее, по их мнению, проблемные: нацеленность учебной программы на запросы рынка, актуальность содержания конкретных курсов, а также удобство расписания занятий, что говорит о возможности полагать, что институциональные характеристики в определенной степени не устраивают студентов и могут повлечь за собой трудности в обучении. </w:t>
      </w:r>
    </w:p>
    <w:p w:rsidR="003C3E8F" w:rsidRDefault="003C3E8F" w:rsidP="00B4747B">
      <w:pPr>
        <w:keepNext/>
        <w:ind w:firstLine="567"/>
        <w:jc w:val="center"/>
      </w:pPr>
      <w:r>
        <w:rPr>
          <w:noProof/>
          <w:lang w:eastAsia="ru-RU"/>
        </w:rPr>
        <w:drawing>
          <wp:inline distT="0" distB="0" distL="0" distR="0" wp14:anchorId="12D0974C" wp14:editId="6748F5AE">
            <wp:extent cx="4343400" cy="2124075"/>
            <wp:effectExtent l="0" t="0" r="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3E8F" w:rsidRPr="004D5B94" w:rsidRDefault="00217604" w:rsidP="00B4747B">
      <w:pPr>
        <w:pStyle w:val="a3"/>
        <w:spacing w:after="0" w:line="360" w:lineRule="auto"/>
        <w:ind w:firstLine="567"/>
        <w:jc w:val="center"/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</w:pPr>
      <w:r w:rsidRPr="00217604">
        <w:rPr>
          <w:rFonts w:ascii="Times New Roman" w:hAnsi="Times New Roman" w:cs="Times New Roman"/>
          <w:color w:val="auto"/>
          <w:sz w:val="24"/>
          <w:szCs w:val="24"/>
        </w:rPr>
        <w:t>Рис. 5.</w:t>
      </w:r>
      <w:r w:rsidR="003C3E8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3C3E8F" w:rsidRPr="004D5B94">
        <w:rPr>
          <w:rFonts w:ascii="Times New Roman" w:hAnsi="Times New Roman" w:cs="Times New Roman"/>
          <w:i w:val="0"/>
          <w:color w:val="auto"/>
          <w:sz w:val="24"/>
          <w:szCs w:val="24"/>
        </w:rPr>
        <w:t>Распределение ответов на вопрос "Устраивает ли вас нацеленность учебной программы на запросы рынка?»</w:t>
      </w:r>
      <w:r w:rsidR="003C3E8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(в процентах)</w:t>
      </w:r>
    </w:p>
    <w:p w:rsidR="003C3E8F" w:rsidRDefault="003C3E8F" w:rsidP="00B4747B">
      <w:pPr>
        <w:keepNext/>
        <w:ind w:firstLine="567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01347C4" wp14:editId="6EB5004B">
            <wp:extent cx="4572000" cy="27432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C3E8F" w:rsidRDefault="00217604" w:rsidP="00B4747B">
      <w:pPr>
        <w:pStyle w:val="a3"/>
        <w:spacing w:after="0" w:line="360" w:lineRule="auto"/>
        <w:ind w:firstLine="567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17604">
        <w:rPr>
          <w:rFonts w:ascii="Times New Roman" w:hAnsi="Times New Roman" w:cs="Times New Roman"/>
          <w:color w:val="auto"/>
          <w:sz w:val="24"/>
          <w:szCs w:val="24"/>
        </w:rPr>
        <w:t>Рис. 6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3C3E8F" w:rsidRPr="004D5B94">
        <w:rPr>
          <w:rFonts w:ascii="Times New Roman" w:hAnsi="Times New Roman" w:cs="Times New Roman"/>
          <w:i w:val="0"/>
          <w:color w:val="auto"/>
          <w:sz w:val="24"/>
          <w:szCs w:val="24"/>
        </w:rPr>
        <w:t>Распределение ответов на вопрос "Устраивает ли вас актуальность содержания конкретных курсов?»</w:t>
      </w:r>
      <w:r w:rsidR="003C3E8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(в процентах)</w:t>
      </w:r>
    </w:p>
    <w:p w:rsidR="003C3E8F" w:rsidRDefault="003C3E8F" w:rsidP="00B4747B">
      <w:pPr>
        <w:ind w:firstLine="567"/>
        <w:rPr>
          <w:rFonts w:ascii="Times New Roman" w:eastAsia="MS Mincho" w:hAnsi="Times New Roman" w:cs="Times New Roman"/>
          <w:sz w:val="24"/>
          <w:szCs w:val="24"/>
        </w:rPr>
      </w:pPr>
    </w:p>
    <w:p w:rsidR="003C3E8F" w:rsidRDefault="003C3E8F" w:rsidP="00B4747B">
      <w:pPr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То же самое касается взаимодействия деканатов и неустойчивых студентов, поскольку последние отмечают трудности, которые сопровождают их коммуникацию. Среди этих трудностей лидирует недостаток информации по поводу того, с какими проблемами можно обращаться к деканату, а с какими нет. Это указывает на возможную проблему недостаточной информированности студентов о функции деканатов и их значении для решения тех или иных трудностей, возникающих в процессе обучения. </w:t>
      </w:r>
    </w:p>
    <w:p w:rsidR="003C3E8F" w:rsidRPr="00A4110A" w:rsidRDefault="003C3E8F" w:rsidP="00B4747B">
      <w:pPr>
        <w:keepNext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11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9B5DE" wp14:editId="6272D598">
            <wp:extent cx="5172075" cy="3295650"/>
            <wp:effectExtent l="0" t="0" r="952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C3E8F" w:rsidRPr="00A4110A" w:rsidRDefault="00217604" w:rsidP="00B4747B">
      <w:pPr>
        <w:pStyle w:val="a3"/>
        <w:spacing w:after="0" w:line="360" w:lineRule="auto"/>
        <w:ind w:firstLine="567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17604">
        <w:rPr>
          <w:rFonts w:ascii="Times New Roman" w:hAnsi="Times New Roman" w:cs="Times New Roman"/>
          <w:iCs w:val="0"/>
          <w:color w:val="auto"/>
          <w:sz w:val="24"/>
          <w:szCs w:val="24"/>
        </w:rPr>
        <w:t>Рис. 7.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3C3E8F" w:rsidRPr="00A411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Распределение ответов на вопрос "</w:t>
      </w:r>
      <w:r w:rsidR="003C3E8F" w:rsidRPr="00A4110A">
        <w:rPr>
          <w:rFonts w:ascii="Times New Roman" w:hAnsi="Times New Roman" w:cs="Times New Roman" w:hint="cs"/>
          <w:i w:val="0"/>
          <w:iCs w:val="0"/>
          <w:color w:val="auto"/>
          <w:sz w:val="24"/>
          <w:szCs w:val="24"/>
        </w:rPr>
        <w:t>Удовлетворены</w:t>
      </w:r>
      <w:r w:rsidR="003C3E8F" w:rsidRPr="00A411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ли Вы работой деканата на своем факультете?" (в процентах)</w:t>
      </w:r>
    </w:p>
    <w:p w:rsidR="003C3E8F" w:rsidRDefault="003C3E8F" w:rsidP="00B4747B">
      <w:pPr>
        <w:keepNext/>
        <w:ind w:firstLine="567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DB2E646" wp14:editId="3339020B">
            <wp:extent cx="5476875" cy="3419475"/>
            <wp:effectExtent l="0" t="0" r="9525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C3E8F" w:rsidRDefault="00217604" w:rsidP="00B4747B">
      <w:pPr>
        <w:pStyle w:val="a3"/>
        <w:spacing w:after="0" w:line="360" w:lineRule="auto"/>
        <w:ind w:firstLine="567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17604">
        <w:rPr>
          <w:rFonts w:ascii="Times New Roman" w:hAnsi="Times New Roman" w:cs="Times New Roman"/>
          <w:iCs w:val="0"/>
          <w:color w:val="auto"/>
          <w:sz w:val="24"/>
          <w:szCs w:val="24"/>
        </w:rPr>
        <w:t>Рис. 8.</w:t>
      </w:r>
      <w:r w:rsidR="003C3E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3C3E8F" w:rsidRPr="00A411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Распределение ответов на вопрос "</w:t>
      </w:r>
      <w:r w:rsidR="003C3E8F" w:rsidRPr="00A4110A">
        <w:rPr>
          <w:rFonts w:ascii="Times New Roman" w:hAnsi="Times New Roman" w:cs="Times New Roman" w:hint="cs"/>
          <w:i w:val="0"/>
          <w:iCs w:val="0"/>
          <w:color w:val="auto"/>
          <w:sz w:val="24"/>
          <w:szCs w:val="24"/>
        </w:rPr>
        <w:t>Какие</w:t>
      </w:r>
      <w:r w:rsidR="003C3E8F" w:rsidRPr="00A4110A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проблемы у вас возникали/возникают при взаимодействии с деканатом?»</w:t>
      </w:r>
      <w:r w:rsidR="003C3E8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(в процентах)</w:t>
      </w:r>
    </w:p>
    <w:p w:rsidR="00217604" w:rsidRDefault="00217604" w:rsidP="00B4747B">
      <w:pPr>
        <w:ind w:firstLine="567"/>
        <w:rPr>
          <w:rFonts w:ascii="Times New Roman" w:eastAsia="MS Mincho" w:hAnsi="Times New Roman" w:cs="Times New Roman"/>
          <w:sz w:val="24"/>
          <w:szCs w:val="24"/>
        </w:rPr>
      </w:pPr>
    </w:p>
    <w:p w:rsidR="003C3E8F" w:rsidRDefault="003C3E8F" w:rsidP="00B4747B">
      <w:pPr>
        <w:ind w:firstLine="56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Таким образом, мы делаем вывод о том, что не все гипотезы, поставленные в ходе исследования подтвердились, однако было выявлено наибольшее влияние когнитивных и институциональных факторов на характеристику академической устойчивости и риска отсева студентов, что соответствует цели исследования, а именно, определить, чем обусловлены особенности академической неустойчивости и отсева студентов.</w:t>
      </w:r>
    </w:p>
    <w:p w:rsidR="00217604" w:rsidRDefault="00217604" w:rsidP="00B4747B">
      <w:pPr>
        <w:ind w:firstLine="567"/>
        <w:rPr>
          <w:rFonts w:ascii="Times New Roman" w:eastAsia="MS Mincho" w:hAnsi="Times New Roman" w:cs="Times New Roman"/>
          <w:sz w:val="24"/>
          <w:szCs w:val="24"/>
        </w:rPr>
      </w:pPr>
    </w:p>
    <w:p w:rsidR="00217604" w:rsidRDefault="00217604" w:rsidP="00B4747B">
      <w:pPr>
        <w:ind w:firstLine="567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Литература</w:t>
      </w:r>
    </w:p>
    <w:p w:rsidR="00D2332F" w:rsidRDefault="00217604" w:rsidP="00D2332F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1760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604">
        <w:rPr>
          <w:rFonts w:ascii="Times New Roman" w:hAnsi="Times New Roman" w:cs="Times New Roman"/>
          <w:sz w:val="24"/>
          <w:szCs w:val="24"/>
        </w:rPr>
        <w:t xml:space="preserve">Арсентьев Н. М. </w:t>
      </w:r>
      <w:proofErr w:type="spellStart"/>
      <w:r w:rsidRPr="00217604">
        <w:rPr>
          <w:rFonts w:ascii="Times New Roman" w:hAnsi="Times New Roman" w:cs="Times New Roman"/>
          <w:sz w:val="24"/>
          <w:szCs w:val="24"/>
        </w:rPr>
        <w:t>Массовизация</w:t>
      </w:r>
      <w:proofErr w:type="spellEnd"/>
      <w:r w:rsidRPr="00217604">
        <w:rPr>
          <w:rFonts w:ascii="Times New Roman" w:hAnsi="Times New Roman" w:cs="Times New Roman"/>
          <w:sz w:val="24"/>
          <w:szCs w:val="24"/>
        </w:rPr>
        <w:t xml:space="preserve"> высшего образования в России: угрозы и перспективы / Н. М. Арсентьев, А. Ю. Ивлева // Гуманитарий: актуальные проблемы гу</w:t>
      </w:r>
      <w:r w:rsidR="00857CC3">
        <w:rPr>
          <w:rFonts w:ascii="Times New Roman" w:hAnsi="Times New Roman" w:cs="Times New Roman"/>
          <w:sz w:val="24"/>
          <w:szCs w:val="24"/>
        </w:rPr>
        <w:t xml:space="preserve">манитарной науки и образования. 2010. </w:t>
      </w:r>
      <w:r w:rsidR="00857CC3" w:rsidRPr="00D2332F">
        <w:rPr>
          <w:rFonts w:ascii="Times New Roman" w:hAnsi="Times New Roman" w:cs="Times New Roman"/>
          <w:sz w:val="24"/>
          <w:szCs w:val="24"/>
        </w:rPr>
        <w:t xml:space="preserve">№3. </w:t>
      </w:r>
      <w:r w:rsidRPr="002176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2332F">
        <w:rPr>
          <w:rFonts w:ascii="Times New Roman" w:hAnsi="Times New Roman" w:cs="Times New Roman"/>
          <w:sz w:val="24"/>
          <w:szCs w:val="24"/>
        </w:rPr>
        <w:t>. 76 – 82.</w:t>
      </w:r>
      <w:r w:rsidR="00D2332F" w:rsidRPr="00D23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CC3" w:rsidRDefault="00857CC3" w:rsidP="00D2332F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17604">
        <w:rPr>
          <w:rFonts w:ascii="Times New Roman" w:hAnsi="Times New Roman" w:cs="Times New Roman"/>
          <w:sz w:val="24"/>
          <w:szCs w:val="24"/>
        </w:rPr>
        <w:t xml:space="preserve">Груздев И. А. Студенческий отсев в российских вузах: к постановке проблемы / И. А. Груздев, Е. В. Горбунова, И. Д. </w:t>
      </w:r>
      <w:r>
        <w:rPr>
          <w:rFonts w:ascii="Times New Roman" w:hAnsi="Times New Roman" w:cs="Times New Roman"/>
          <w:sz w:val="24"/>
          <w:szCs w:val="24"/>
        </w:rPr>
        <w:t xml:space="preserve">Фрумин // Вопросы образования. 2013. №2. </w:t>
      </w:r>
      <w:r w:rsidRPr="00217604">
        <w:rPr>
          <w:rFonts w:ascii="Times New Roman" w:hAnsi="Times New Roman" w:cs="Times New Roman"/>
          <w:sz w:val="24"/>
          <w:szCs w:val="24"/>
        </w:rPr>
        <w:t>С. 061–081.</w:t>
      </w:r>
    </w:p>
    <w:p w:rsidR="00217604" w:rsidRPr="00B4747B" w:rsidRDefault="00857CC3" w:rsidP="00B4747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76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7604" w:rsidRPr="00217604">
        <w:rPr>
          <w:rFonts w:ascii="Times New Roman" w:hAnsi="Times New Roman" w:cs="Times New Roman"/>
          <w:sz w:val="24"/>
          <w:szCs w:val="24"/>
        </w:rPr>
        <w:t>Ридингс</w:t>
      </w:r>
      <w:proofErr w:type="spellEnd"/>
      <w:r w:rsidR="00217604" w:rsidRPr="00217604">
        <w:rPr>
          <w:rFonts w:ascii="Times New Roman" w:hAnsi="Times New Roman" w:cs="Times New Roman"/>
          <w:sz w:val="24"/>
          <w:szCs w:val="24"/>
        </w:rPr>
        <w:t xml:space="preserve"> Б. Университет в руинах / пер. с англ. А. М. </w:t>
      </w:r>
      <w:proofErr w:type="spellStart"/>
      <w:r w:rsidR="00217604" w:rsidRPr="00217604">
        <w:rPr>
          <w:rFonts w:ascii="Times New Roman" w:hAnsi="Times New Roman" w:cs="Times New Roman"/>
          <w:sz w:val="24"/>
          <w:szCs w:val="24"/>
        </w:rPr>
        <w:t>Корбута</w:t>
      </w:r>
      <w:proofErr w:type="spellEnd"/>
      <w:r w:rsidR="00217604" w:rsidRPr="00217604">
        <w:rPr>
          <w:rFonts w:ascii="Times New Roman" w:hAnsi="Times New Roman" w:cs="Times New Roman"/>
          <w:sz w:val="24"/>
          <w:szCs w:val="24"/>
        </w:rPr>
        <w:t xml:space="preserve">; Гос. ун-т – Высшая школа экономики – М.: Изд. дом Гос. ун-та – </w:t>
      </w:r>
      <w:r>
        <w:rPr>
          <w:rFonts w:ascii="Times New Roman" w:hAnsi="Times New Roman" w:cs="Times New Roman"/>
          <w:sz w:val="24"/>
          <w:szCs w:val="24"/>
        </w:rPr>
        <w:t xml:space="preserve">Высшей школы экономики, 2010. </w:t>
      </w:r>
      <w:r w:rsidR="00217604" w:rsidRPr="00B4747B">
        <w:rPr>
          <w:rFonts w:ascii="Times New Roman" w:hAnsi="Times New Roman" w:cs="Times New Roman"/>
          <w:sz w:val="24"/>
          <w:szCs w:val="24"/>
        </w:rPr>
        <w:t xml:space="preserve">304 </w:t>
      </w:r>
      <w:r w:rsidR="00217604" w:rsidRPr="00217604">
        <w:rPr>
          <w:rFonts w:ascii="Times New Roman" w:hAnsi="Times New Roman" w:cs="Times New Roman"/>
          <w:sz w:val="24"/>
          <w:szCs w:val="24"/>
        </w:rPr>
        <w:t>с</w:t>
      </w:r>
      <w:r w:rsidR="00217604" w:rsidRPr="00B4747B">
        <w:rPr>
          <w:rFonts w:ascii="Times New Roman" w:hAnsi="Times New Roman" w:cs="Times New Roman"/>
          <w:sz w:val="24"/>
          <w:szCs w:val="24"/>
        </w:rPr>
        <w:t>.</w:t>
      </w:r>
    </w:p>
    <w:p w:rsidR="00217604" w:rsidRDefault="00217604" w:rsidP="00B4747B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_Ref73277537"/>
      <w:r w:rsidRPr="00217604">
        <w:rPr>
          <w:rFonts w:ascii="Times New Roman" w:hAnsi="Times New Roman" w:cs="Times New Roman"/>
          <w:sz w:val="24"/>
          <w:szCs w:val="24"/>
          <w:lang w:val="en-US"/>
        </w:rPr>
        <w:t>4. Sewell W. Shah, V. Socioeconomic status, intelligence, and the attainment of higher education // S</w:t>
      </w:r>
      <w:r w:rsidR="00857CC3">
        <w:rPr>
          <w:rFonts w:ascii="Times New Roman" w:hAnsi="Times New Roman" w:cs="Times New Roman"/>
          <w:sz w:val="24"/>
          <w:szCs w:val="24"/>
          <w:lang w:val="en-US"/>
        </w:rPr>
        <w:t xml:space="preserve">ociology of Education – 1967. </w:t>
      </w:r>
      <w:r w:rsidR="00857CC3" w:rsidRPr="00B4747B">
        <w:rPr>
          <w:rFonts w:ascii="Times New Roman" w:hAnsi="Times New Roman" w:cs="Times New Roman"/>
          <w:sz w:val="24"/>
          <w:szCs w:val="24"/>
        </w:rPr>
        <w:t xml:space="preserve">№40. </w:t>
      </w:r>
      <w:r w:rsidRPr="0021760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747B">
        <w:rPr>
          <w:rFonts w:ascii="Times New Roman" w:hAnsi="Times New Roman" w:cs="Times New Roman"/>
          <w:sz w:val="24"/>
          <w:szCs w:val="24"/>
        </w:rPr>
        <w:t>. 1–23.</w:t>
      </w:r>
      <w:bookmarkEnd w:id="1"/>
    </w:p>
    <w:p w:rsidR="00D2332F" w:rsidRDefault="00D2332F" w:rsidP="00B4747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2332F" w:rsidRDefault="00D2332F" w:rsidP="00D2332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2332F" w:rsidRDefault="00D2332F" w:rsidP="00D2332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2332F" w:rsidRDefault="00D2332F" w:rsidP="00D2332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332F">
        <w:rPr>
          <w:rFonts w:ascii="Times New Roman" w:hAnsi="Times New Roman" w:cs="Times New Roman"/>
          <w:b/>
          <w:sz w:val="24"/>
          <w:szCs w:val="24"/>
        </w:rPr>
        <w:lastRenderedPageBreak/>
        <w:t>List</w:t>
      </w:r>
      <w:proofErr w:type="spellEnd"/>
      <w:r w:rsidRPr="00D23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32F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23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332F"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</w:p>
    <w:p w:rsidR="00D2332F" w:rsidRPr="00D2332F" w:rsidRDefault="00D2332F" w:rsidP="00D2332F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2332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D2332F">
        <w:rPr>
          <w:rFonts w:ascii="Times New Roman" w:hAnsi="Times New Roman" w:cs="Times New Roman"/>
          <w:sz w:val="24"/>
          <w:szCs w:val="24"/>
          <w:lang w:val="en-US"/>
        </w:rPr>
        <w:t>Arsentiev</w:t>
      </w:r>
      <w:proofErr w:type="spellEnd"/>
      <w:r w:rsidRPr="00D2332F">
        <w:rPr>
          <w:rFonts w:ascii="Times New Roman" w:hAnsi="Times New Roman" w:cs="Times New Roman"/>
          <w:sz w:val="24"/>
          <w:szCs w:val="24"/>
          <w:lang w:val="en-US"/>
        </w:rPr>
        <w:t xml:space="preserve"> N. M. </w:t>
      </w:r>
      <w:proofErr w:type="spellStart"/>
      <w:r w:rsidRPr="00D2332F">
        <w:rPr>
          <w:rFonts w:ascii="Times New Roman" w:hAnsi="Times New Roman" w:cs="Times New Roman"/>
          <w:sz w:val="24"/>
          <w:szCs w:val="24"/>
          <w:lang w:val="en-US"/>
        </w:rPr>
        <w:t>Massification</w:t>
      </w:r>
      <w:proofErr w:type="spellEnd"/>
      <w:r w:rsidRPr="00D2332F">
        <w:rPr>
          <w:rFonts w:ascii="Times New Roman" w:hAnsi="Times New Roman" w:cs="Times New Roman"/>
          <w:sz w:val="24"/>
          <w:szCs w:val="24"/>
          <w:lang w:val="en-US"/>
        </w:rPr>
        <w:t xml:space="preserve"> of higher education in Russia: threats and prospects / N. M. </w:t>
      </w:r>
      <w:proofErr w:type="spellStart"/>
      <w:r w:rsidRPr="00D2332F">
        <w:rPr>
          <w:rFonts w:ascii="Times New Roman" w:hAnsi="Times New Roman" w:cs="Times New Roman"/>
          <w:sz w:val="24"/>
          <w:szCs w:val="24"/>
          <w:lang w:val="en-US"/>
        </w:rPr>
        <w:t>Arsentiev</w:t>
      </w:r>
      <w:proofErr w:type="spellEnd"/>
      <w:r w:rsidRPr="00D2332F">
        <w:rPr>
          <w:rFonts w:ascii="Times New Roman" w:hAnsi="Times New Roman" w:cs="Times New Roman"/>
          <w:sz w:val="24"/>
          <w:szCs w:val="24"/>
          <w:lang w:val="en-US"/>
        </w:rPr>
        <w:t xml:space="preserve">, A. Y. </w:t>
      </w:r>
      <w:proofErr w:type="spellStart"/>
      <w:r w:rsidRPr="00D2332F">
        <w:rPr>
          <w:rFonts w:ascii="Times New Roman" w:hAnsi="Times New Roman" w:cs="Times New Roman"/>
          <w:sz w:val="24"/>
          <w:szCs w:val="24"/>
          <w:lang w:val="en-US"/>
        </w:rPr>
        <w:t>Ivleva</w:t>
      </w:r>
      <w:proofErr w:type="spellEnd"/>
      <w:r w:rsidRPr="00D2332F">
        <w:rPr>
          <w:rFonts w:ascii="Times New Roman" w:hAnsi="Times New Roman" w:cs="Times New Roman"/>
          <w:sz w:val="24"/>
          <w:szCs w:val="24"/>
          <w:lang w:val="en-US"/>
        </w:rPr>
        <w:t xml:space="preserve"> // Humanities: actual problems of humanities and education. 2010. No.3. C. 76 – 82.</w:t>
      </w:r>
    </w:p>
    <w:p w:rsidR="00D2332F" w:rsidRPr="00D2332F" w:rsidRDefault="00D2332F" w:rsidP="00D2332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2332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D2332F">
        <w:rPr>
          <w:rFonts w:ascii="Times New Roman" w:hAnsi="Times New Roman" w:cs="Times New Roman"/>
          <w:sz w:val="24"/>
          <w:szCs w:val="24"/>
          <w:lang w:val="en-US"/>
        </w:rPr>
        <w:t>Gruzdev</w:t>
      </w:r>
      <w:proofErr w:type="spellEnd"/>
      <w:r w:rsidRPr="00D2332F">
        <w:rPr>
          <w:rFonts w:ascii="Times New Roman" w:hAnsi="Times New Roman" w:cs="Times New Roman"/>
          <w:sz w:val="24"/>
          <w:szCs w:val="24"/>
          <w:lang w:val="en-US"/>
        </w:rPr>
        <w:t xml:space="preserve"> I. A. Student dropout in Russian universities: to the formulation of the problem / I. A. </w:t>
      </w:r>
      <w:proofErr w:type="spellStart"/>
      <w:r w:rsidRPr="00D2332F">
        <w:rPr>
          <w:rFonts w:ascii="Times New Roman" w:hAnsi="Times New Roman" w:cs="Times New Roman"/>
          <w:sz w:val="24"/>
          <w:szCs w:val="24"/>
          <w:lang w:val="en-US"/>
        </w:rPr>
        <w:t>Gruzdev</w:t>
      </w:r>
      <w:proofErr w:type="spellEnd"/>
      <w:r w:rsidRPr="00D2332F">
        <w:rPr>
          <w:rFonts w:ascii="Times New Roman" w:hAnsi="Times New Roman" w:cs="Times New Roman"/>
          <w:sz w:val="24"/>
          <w:szCs w:val="24"/>
          <w:lang w:val="en-US"/>
        </w:rPr>
        <w:t xml:space="preserve">, E. V. </w:t>
      </w:r>
      <w:proofErr w:type="spellStart"/>
      <w:r w:rsidRPr="00D2332F">
        <w:rPr>
          <w:rFonts w:ascii="Times New Roman" w:hAnsi="Times New Roman" w:cs="Times New Roman"/>
          <w:sz w:val="24"/>
          <w:szCs w:val="24"/>
          <w:lang w:val="en-US"/>
        </w:rPr>
        <w:t>Gorbunova</w:t>
      </w:r>
      <w:proofErr w:type="spellEnd"/>
      <w:r w:rsidRPr="00D2332F">
        <w:rPr>
          <w:rFonts w:ascii="Times New Roman" w:hAnsi="Times New Roman" w:cs="Times New Roman"/>
          <w:sz w:val="24"/>
          <w:szCs w:val="24"/>
          <w:lang w:val="en-US"/>
        </w:rPr>
        <w:t xml:space="preserve">, I. D. </w:t>
      </w:r>
      <w:proofErr w:type="spellStart"/>
      <w:r w:rsidRPr="00D2332F">
        <w:rPr>
          <w:rFonts w:ascii="Times New Roman" w:hAnsi="Times New Roman" w:cs="Times New Roman"/>
          <w:sz w:val="24"/>
          <w:szCs w:val="24"/>
          <w:lang w:val="en-US"/>
        </w:rPr>
        <w:t>Frumin</w:t>
      </w:r>
      <w:proofErr w:type="spellEnd"/>
      <w:r w:rsidRPr="00D2332F">
        <w:rPr>
          <w:rFonts w:ascii="Times New Roman" w:hAnsi="Times New Roman" w:cs="Times New Roman"/>
          <w:sz w:val="24"/>
          <w:szCs w:val="24"/>
          <w:lang w:val="en-US"/>
        </w:rPr>
        <w:t xml:space="preserve"> // Questions of education. </w:t>
      </w:r>
      <w:r w:rsidRPr="00D2332F">
        <w:rPr>
          <w:rFonts w:ascii="Times New Roman" w:hAnsi="Times New Roman" w:cs="Times New Roman"/>
          <w:sz w:val="24"/>
          <w:szCs w:val="24"/>
        </w:rPr>
        <w:t xml:space="preserve">2013. No.2. </w:t>
      </w:r>
      <w:proofErr w:type="spellStart"/>
      <w:r w:rsidRPr="00D2332F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D2332F">
        <w:rPr>
          <w:rFonts w:ascii="Times New Roman" w:hAnsi="Times New Roman" w:cs="Times New Roman"/>
          <w:sz w:val="24"/>
          <w:szCs w:val="24"/>
        </w:rPr>
        <w:t>. 061-081.</w:t>
      </w:r>
    </w:p>
    <w:p w:rsidR="00D2332F" w:rsidRDefault="00D2332F" w:rsidP="00D2332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2332F">
        <w:rPr>
          <w:rFonts w:ascii="Times New Roman" w:hAnsi="Times New Roman" w:cs="Times New Roman"/>
          <w:sz w:val="24"/>
          <w:szCs w:val="24"/>
          <w:lang w:val="en-US"/>
        </w:rPr>
        <w:t xml:space="preserve">3. Reading B. University in Ruins / translated from the English by A.M. </w:t>
      </w:r>
      <w:proofErr w:type="spellStart"/>
      <w:r w:rsidRPr="00D2332F">
        <w:rPr>
          <w:rFonts w:ascii="Times New Roman" w:hAnsi="Times New Roman" w:cs="Times New Roman"/>
          <w:sz w:val="24"/>
          <w:szCs w:val="24"/>
          <w:lang w:val="en-US"/>
        </w:rPr>
        <w:t>Korbut</w:t>
      </w:r>
      <w:proofErr w:type="spellEnd"/>
      <w:r w:rsidRPr="00D2332F">
        <w:rPr>
          <w:rFonts w:ascii="Times New Roman" w:hAnsi="Times New Roman" w:cs="Times New Roman"/>
          <w:sz w:val="24"/>
          <w:szCs w:val="24"/>
          <w:lang w:val="en-US"/>
        </w:rPr>
        <w:t xml:space="preserve">; State University – Higher School of Economics – Moscow: Publishing House of State University – Higher School of Economics, 2010. </w:t>
      </w:r>
      <w:r w:rsidRPr="00D2332F">
        <w:rPr>
          <w:rFonts w:ascii="Times New Roman" w:hAnsi="Times New Roman" w:cs="Times New Roman"/>
          <w:sz w:val="24"/>
          <w:szCs w:val="24"/>
        </w:rPr>
        <w:t>304 p.</w:t>
      </w:r>
    </w:p>
    <w:p w:rsidR="00D2332F" w:rsidRPr="00B4747B" w:rsidRDefault="00D2332F" w:rsidP="00D2332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2332F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217604">
        <w:rPr>
          <w:rFonts w:ascii="Times New Roman" w:hAnsi="Times New Roman" w:cs="Times New Roman"/>
          <w:sz w:val="24"/>
          <w:szCs w:val="24"/>
          <w:lang w:val="en-US"/>
        </w:rPr>
        <w:t>Sewell W. Shah, V. Socioeconomic status, intelligence, and the attainment of higher education //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ociology of Education – 1967. </w:t>
      </w:r>
      <w:r w:rsidRPr="00B4747B">
        <w:rPr>
          <w:rFonts w:ascii="Times New Roman" w:hAnsi="Times New Roman" w:cs="Times New Roman"/>
          <w:sz w:val="24"/>
          <w:szCs w:val="24"/>
        </w:rPr>
        <w:t xml:space="preserve">№40. </w:t>
      </w:r>
      <w:r w:rsidRPr="0021760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4747B">
        <w:rPr>
          <w:rFonts w:ascii="Times New Roman" w:hAnsi="Times New Roman" w:cs="Times New Roman"/>
          <w:sz w:val="24"/>
          <w:szCs w:val="24"/>
        </w:rPr>
        <w:t>. 1–23.</w:t>
      </w:r>
    </w:p>
    <w:p w:rsidR="00217604" w:rsidRPr="00B4747B" w:rsidRDefault="00217604" w:rsidP="00B4747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17604" w:rsidRPr="00D2332F" w:rsidRDefault="00217604" w:rsidP="00D2332F">
      <w:pPr>
        <w:shd w:val="clear" w:color="auto" w:fill="FFFFFF"/>
        <w:spacing w:line="240" w:lineRule="auto"/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Благодарности.</w:t>
      </w:r>
      <w:r w:rsidRPr="0021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314A" w:rsidRPr="008E3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благодарит</w:t>
      </w:r>
      <w:r w:rsidRPr="0021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помощь в сборе данных для исследования научного</w:t>
      </w:r>
      <w:r w:rsidR="00B4747B" w:rsidRPr="00B4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 проекта </w:t>
      </w:r>
      <w:r w:rsidR="00D23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М.О. Абрамову</w:t>
      </w:r>
    </w:p>
    <w:p w:rsidR="00217604" w:rsidRPr="00217604" w:rsidRDefault="00217604" w:rsidP="00B4747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17604" w:rsidRPr="00217604" w:rsidRDefault="00217604" w:rsidP="00B4747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17604" w:rsidRPr="00217604" w:rsidRDefault="00217604" w:rsidP="00B4747B">
      <w:pPr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217604" w:rsidRPr="00217604" w:rsidRDefault="00217604" w:rsidP="00B4747B">
      <w:pPr>
        <w:ind w:firstLine="567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C3E8F" w:rsidRPr="00217604" w:rsidRDefault="003C3E8F" w:rsidP="00B4747B">
      <w:pPr>
        <w:ind w:firstLine="56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C3E8F" w:rsidRPr="00217604" w:rsidRDefault="003C3E8F" w:rsidP="00B4747B">
      <w:pPr>
        <w:ind w:firstLine="567"/>
      </w:pPr>
    </w:p>
    <w:sectPr w:rsidR="003C3E8F" w:rsidRPr="00217604" w:rsidSect="00B474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30B7"/>
    <w:multiLevelType w:val="hybridMultilevel"/>
    <w:tmpl w:val="4C4A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6088B"/>
    <w:multiLevelType w:val="hybridMultilevel"/>
    <w:tmpl w:val="04A2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F48F2"/>
    <w:multiLevelType w:val="hybridMultilevel"/>
    <w:tmpl w:val="356E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6214A"/>
    <w:multiLevelType w:val="hybridMultilevel"/>
    <w:tmpl w:val="E0AA677E"/>
    <w:lvl w:ilvl="0" w:tplc="A3E4EE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52"/>
    <w:rsid w:val="000D05E2"/>
    <w:rsid w:val="00217604"/>
    <w:rsid w:val="00342A08"/>
    <w:rsid w:val="003C3E8F"/>
    <w:rsid w:val="00516D7A"/>
    <w:rsid w:val="00671B89"/>
    <w:rsid w:val="00751C84"/>
    <w:rsid w:val="00840C52"/>
    <w:rsid w:val="00857CC3"/>
    <w:rsid w:val="008E314A"/>
    <w:rsid w:val="00B4747B"/>
    <w:rsid w:val="00D22E84"/>
    <w:rsid w:val="00D2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A9C26-3BC5-448F-856C-6DC5AC9A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C52"/>
    <w:pPr>
      <w:spacing w:after="0" w:line="360" w:lineRule="auto"/>
      <w:ind w:firstLine="709"/>
      <w:jc w:val="both"/>
    </w:pPr>
    <w:rPr>
      <w:rFonts w:eastAsiaTheme="minorEastAs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C3E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4">
    <w:name w:val="Table Grid"/>
    <w:basedOn w:val="a1"/>
    <w:uiPriority w:val="59"/>
    <w:rsid w:val="003C3E8F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1B8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1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chart" Target="charts/chart5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Неустойчивые студенты</c:v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Лист1!$Q$67:$Q$75</c:f>
              <c:strCache>
                <c:ptCount val="9"/>
                <c:pt idx="0">
                  <c:v>Для общего развития</c:v>
                </c:pt>
                <c:pt idx="1">
                  <c:v>Нужен диплом, иначе работу не найти</c:v>
                </c:pt>
                <c:pt idx="2">
                  <c:v>Настояли родители</c:v>
                </c:pt>
                <c:pt idx="3">
                  <c:v>Не хотел идти в армию</c:v>
                </c:pt>
                <c:pt idx="4">
                  <c:v>Для получения хорошей работы по специальности</c:v>
                </c:pt>
                <c:pt idx="5">
                  <c:v>Для дальнейшей научной деятельности </c:v>
                </c:pt>
                <c:pt idx="6">
                  <c:v>Чтобы переехать в другой город/страну</c:v>
                </c:pt>
                <c:pt idx="7">
                  <c:v>Чтобы не работать на время обучения в вузе</c:v>
                </c:pt>
                <c:pt idx="8">
                  <c:v>Другое</c:v>
                </c:pt>
              </c:strCache>
            </c:strRef>
          </c:cat>
          <c:val>
            <c:numRef>
              <c:f>Лист1!$R$67:$R$75</c:f>
              <c:numCache>
                <c:formatCode>0</c:formatCode>
                <c:ptCount val="9"/>
                <c:pt idx="0">
                  <c:v>22.6</c:v>
                </c:pt>
                <c:pt idx="1">
                  <c:v>13.600000000000001</c:v>
                </c:pt>
                <c:pt idx="2">
                  <c:v>11.1</c:v>
                </c:pt>
                <c:pt idx="3">
                  <c:v>5.2</c:v>
                </c:pt>
                <c:pt idx="4">
                  <c:v>18.5</c:v>
                </c:pt>
                <c:pt idx="5">
                  <c:v>7.3</c:v>
                </c:pt>
                <c:pt idx="6">
                  <c:v>13.900000000000002</c:v>
                </c:pt>
                <c:pt idx="7">
                  <c:v>3.1</c:v>
                </c:pt>
                <c:pt idx="8">
                  <c:v>2.8000000000000003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8D-4C67-92C0-F787779A2AAA}"/>
            </c:ext>
          </c:extLst>
        </c:ser>
        <c:ser>
          <c:idx val="1"/>
          <c:order val="1"/>
          <c:tx>
            <c:v>Устойчивые студенты</c:v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Лист1!$I$64:$I$72</c:f>
              <c:numCache>
                <c:formatCode>0</c:formatCode>
                <c:ptCount val="9"/>
                <c:pt idx="0">
                  <c:v>21.7</c:v>
                </c:pt>
                <c:pt idx="1">
                  <c:v>20.8</c:v>
                </c:pt>
                <c:pt idx="2">
                  <c:v>9.1999999999999993</c:v>
                </c:pt>
                <c:pt idx="3">
                  <c:v>4.2</c:v>
                </c:pt>
                <c:pt idx="4">
                  <c:v>21.7</c:v>
                </c:pt>
                <c:pt idx="5">
                  <c:v>9.1999999999999993</c:v>
                </c:pt>
                <c:pt idx="6">
                  <c:v>10</c:v>
                </c:pt>
                <c:pt idx="7">
                  <c:v>2.5</c:v>
                </c:pt>
                <c:pt idx="8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8D-4C67-92C0-F787779A2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86923440"/>
        <c:axId val="386922656"/>
      </c:barChart>
      <c:catAx>
        <c:axId val="38692344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6922656"/>
        <c:crosses val="autoZero"/>
        <c:auto val="1"/>
        <c:lblAlgn val="ctr"/>
        <c:lblOffset val="100"/>
        <c:noMultiLvlLbl val="0"/>
      </c:catAx>
      <c:valAx>
        <c:axId val="386922656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8692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Устойчивые студенты</c:v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Лист1!$P$126:$P$131</c:f>
              <c:strCache>
                <c:ptCount val="6"/>
                <c:pt idx="0">
                  <c:v>Часто не успеваю учиться из-за большой загруженности </c:v>
                </c:pt>
                <c:pt idx="1">
                  <c:v>Время от времени тяжело выполнять задания, когда сильно устаешь</c:v>
                </c:pt>
                <c:pt idx="2">
                  <c:v>Дополнительная занятость не влияет на мою учебу</c:v>
                </c:pt>
                <c:pt idx="3">
                  <c:v>Дополнительная занятость мотивирует меня, придает сил</c:v>
                </c:pt>
                <c:pt idx="4">
                  <c:v>Другое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Лист1!$R$126:$R$131</c:f>
              <c:numCache>
                <c:formatCode>0</c:formatCode>
                <c:ptCount val="6"/>
                <c:pt idx="0">
                  <c:v>3.7</c:v>
                </c:pt>
                <c:pt idx="1">
                  <c:v>34.9</c:v>
                </c:pt>
                <c:pt idx="2">
                  <c:v>22.9</c:v>
                </c:pt>
                <c:pt idx="3">
                  <c:v>16.5</c:v>
                </c:pt>
                <c:pt idx="4">
                  <c:v>3.7</c:v>
                </c:pt>
                <c:pt idx="5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5A-4C2C-A1B8-CBEDB4452E7B}"/>
            </c:ext>
          </c:extLst>
        </c:ser>
        <c:ser>
          <c:idx val="1"/>
          <c:order val="1"/>
          <c:tx>
            <c:v>Неустойчивые студенты</c:v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Лист1!$S$155:$S$159</c:f>
              <c:numCache>
                <c:formatCode>0</c:formatCode>
                <c:ptCount val="5"/>
                <c:pt idx="0">
                  <c:v>9.1</c:v>
                </c:pt>
                <c:pt idx="1">
                  <c:v>36.4</c:v>
                </c:pt>
                <c:pt idx="2">
                  <c:v>13.6</c:v>
                </c:pt>
                <c:pt idx="3">
                  <c:v>11.4</c:v>
                </c:pt>
                <c:pt idx="4">
                  <c:v>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5A-4C2C-A1B8-CBEDB4452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67640928"/>
        <c:axId val="467641320"/>
      </c:barChart>
      <c:catAx>
        <c:axId val="46764092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7641320"/>
        <c:crosses val="autoZero"/>
        <c:auto val="1"/>
        <c:lblAlgn val="ctr"/>
        <c:lblOffset val="100"/>
        <c:noMultiLvlLbl val="0"/>
      </c:catAx>
      <c:valAx>
        <c:axId val="467641320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764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Академически успешные студенты</c:v>
          </c:tx>
          <c:spPr>
            <a:solidFill>
              <a:schemeClr val="tx1">
                <a:lumMod val="75000"/>
                <a:lumOff val="25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7D0-4C15-B2CD-37DDE45C097B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07D0-4C15-B2CD-37DDE45C097B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07D0-4C15-B2CD-37DDE45C097B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07D0-4C15-B2CD-37DDE45C097B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07D0-4C15-B2CD-37DDE45C097B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07D0-4C15-B2CD-37DDE45C09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Лист3!$B$4:$B$9</c:f>
              <c:strCache>
                <c:ptCount val="6"/>
                <c:pt idx="0">
                  <c:v>Тяжело дается коммуникация с учебной группой</c:v>
                </c:pt>
                <c:pt idx="1">
                  <c:v>Сложно общаться с преподавателями</c:v>
                </c:pt>
                <c:pt idx="2">
                  <c:v>Сложности с самоорганизацией, управлением своим време</c:v>
                </c:pt>
                <c:pt idx="3">
                  <c:v>Тяжело адаптироваться к новому месту жительства</c:v>
                </c:pt>
                <c:pt idx="4">
                  <c:v>Сложности с некоторыми особо трудными предметами, дис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Лист3!$F$4:$F$9</c:f>
              <c:numCache>
                <c:formatCode>0</c:formatCode>
                <c:ptCount val="6"/>
                <c:pt idx="0">
                  <c:v>12.1</c:v>
                </c:pt>
                <c:pt idx="1">
                  <c:v>4.5</c:v>
                </c:pt>
                <c:pt idx="2">
                  <c:v>27.3</c:v>
                </c:pt>
                <c:pt idx="3">
                  <c:v>6.1</c:v>
                </c:pt>
                <c:pt idx="4">
                  <c:v>33.300000000000004</c:v>
                </c:pt>
                <c:pt idx="5">
                  <c:v>7.6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7D0-4C15-B2CD-37DDE45C097B}"/>
            </c:ext>
          </c:extLst>
        </c:ser>
        <c:ser>
          <c:idx val="1"/>
          <c:order val="1"/>
          <c:tx>
            <c:v>Академически неуспешные студенты</c:v>
          </c:tx>
          <c:spPr>
            <a:solidFill>
              <a:schemeClr val="tx1">
                <a:lumMod val="50000"/>
                <a:lumOff val="50000"/>
              </a:schemeClr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Лист3!$H$25:$H$30</c:f>
              <c:numCache>
                <c:formatCode>0</c:formatCode>
                <c:ptCount val="6"/>
                <c:pt idx="0">
                  <c:v>11.799999999999999</c:v>
                </c:pt>
                <c:pt idx="1">
                  <c:v>6.7</c:v>
                </c:pt>
                <c:pt idx="2">
                  <c:v>37.9</c:v>
                </c:pt>
                <c:pt idx="3">
                  <c:v>9.7000000000000011</c:v>
                </c:pt>
                <c:pt idx="4">
                  <c:v>25.1</c:v>
                </c:pt>
                <c:pt idx="5">
                  <c:v>4.5999999999999996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07D0-4C15-B2CD-37DDE45C0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7642496"/>
        <c:axId val="467642104"/>
      </c:barChart>
      <c:valAx>
        <c:axId val="4676421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7642496"/>
        <c:crosses val="autoZero"/>
        <c:crossBetween val="between"/>
      </c:valAx>
      <c:catAx>
        <c:axId val="4676424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76421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Нацеленность учебной программы на запросы рынка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Лист3!$G$45:$G$48</c:f>
              <c:strCache>
                <c:ptCount val="4"/>
                <c:pt idx="0">
                  <c:v>Полностью не устраивает</c:v>
                </c:pt>
                <c:pt idx="1">
                  <c:v>Скорее не устраивает</c:v>
                </c:pt>
                <c:pt idx="2">
                  <c:v>Скорее устраивает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Лист3!$I$45:$I$48</c:f>
              <c:numCache>
                <c:formatCode>0</c:formatCode>
                <c:ptCount val="4"/>
                <c:pt idx="0">
                  <c:v>21.7</c:v>
                </c:pt>
                <c:pt idx="1">
                  <c:v>26.1</c:v>
                </c:pt>
                <c:pt idx="2">
                  <c:v>37</c:v>
                </c:pt>
                <c:pt idx="3">
                  <c:v>10.9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87-44A6-8CC6-811187A51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67448672"/>
        <c:axId val="467449064"/>
      </c:barChart>
      <c:catAx>
        <c:axId val="467448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7449064"/>
        <c:crosses val="autoZero"/>
        <c:auto val="1"/>
        <c:lblAlgn val="ctr"/>
        <c:lblOffset val="100"/>
        <c:noMultiLvlLbl val="0"/>
      </c:catAx>
      <c:valAx>
        <c:axId val="467449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7448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Актуальность содержания конкретных курсов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Лист3!$G$57:$G$60</c:f>
              <c:strCache>
                <c:ptCount val="4"/>
                <c:pt idx="0">
                  <c:v>Полностью не устраивает</c:v>
                </c:pt>
                <c:pt idx="1">
                  <c:v>Скорее не устраивает</c:v>
                </c:pt>
                <c:pt idx="2">
                  <c:v>Скорее устраивает</c:v>
                </c:pt>
                <c:pt idx="3">
                  <c:v>Полностью устраивает</c:v>
                </c:pt>
              </c:strCache>
            </c:strRef>
          </c:cat>
          <c:val>
            <c:numRef>
              <c:f>Лист3!$I$57:$I$60</c:f>
              <c:numCache>
                <c:formatCode>0</c:formatCode>
                <c:ptCount val="4"/>
                <c:pt idx="0">
                  <c:v>12.5</c:v>
                </c:pt>
                <c:pt idx="1">
                  <c:v>31.3</c:v>
                </c:pt>
                <c:pt idx="2">
                  <c:v>42</c:v>
                </c:pt>
                <c:pt idx="3">
                  <c:v>11.6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5B-43B4-9E17-94BD6234DA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67449848"/>
        <c:axId val="466052320"/>
      </c:barChart>
      <c:catAx>
        <c:axId val="467449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6052320"/>
        <c:crosses val="autoZero"/>
        <c:auto val="1"/>
        <c:lblAlgn val="ctr"/>
        <c:lblOffset val="100"/>
        <c:noMultiLvlLbl val="0"/>
      </c:catAx>
      <c:valAx>
        <c:axId val="466052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7449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Академически устойчивые студенты</c:v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Лист3!$G$75:$G$78</c:f>
              <c:strCache>
                <c:ptCount val="4"/>
                <c:pt idx="0">
                  <c:v>Да, удовлетворен</c:v>
                </c:pt>
                <c:pt idx="1">
                  <c:v>Частично не удовлетворен</c:v>
                </c:pt>
                <c:pt idx="2">
                  <c:v>Полностью 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Лист3!$I$75:$I$78</c:f>
              <c:numCache>
                <c:formatCode>0</c:formatCode>
                <c:ptCount val="4"/>
                <c:pt idx="0">
                  <c:v>47.3</c:v>
                </c:pt>
                <c:pt idx="1">
                  <c:v>33</c:v>
                </c:pt>
                <c:pt idx="2">
                  <c:v>8</c:v>
                </c:pt>
                <c:pt idx="3">
                  <c:v>11.6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06-4860-AA92-AC29186EBB0E}"/>
            </c:ext>
          </c:extLst>
        </c:ser>
        <c:ser>
          <c:idx val="1"/>
          <c:order val="1"/>
          <c:tx>
            <c:v>Академически неустойчивые студенты</c:v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Лист3!$K$91:$K$94</c:f>
              <c:numCache>
                <c:formatCode>0</c:formatCode>
                <c:ptCount val="4"/>
                <c:pt idx="0">
                  <c:v>41.3</c:v>
                </c:pt>
                <c:pt idx="1">
                  <c:v>37</c:v>
                </c:pt>
                <c:pt idx="2">
                  <c:v>8.6999999999999993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506-4860-AA92-AC29186EBB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6053104"/>
        <c:axId val="466053496"/>
      </c:barChart>
      <c:catAx>
        <c:axId val="46605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6053496"/>
        <c:crosses val="autoZero"/>
        <c:auto val="1"/>
        <c:lblAlgn val="ctr"/>
        <c:lblOffset val="100"/>
        <c:noMultiLvlLbl val="0"/>
      </c:catAx>
      <c:valAx>
        <c:axId val="466053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605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Академически устойчивые студенты</c:v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Лист3!$J$101:$J$107</c:f>
              <c:strCache>
                <c:ptCount val="7"/>
                <c:pt idx="0">
                  <c:v>Проблем не возникало</c:v>
                </c:pt>
                <c:pt idx="1">
                  <c:v>Сложно было связаться с деканатом</c:v>
                </c:pt>
                <c:pt idx="2">
                  <c:v>Работники деканата вели себя грубо </c:v>
                </c:pt>
                <c:pt idx="3">
                  <c:v>Работники деканата не знали как помочь </c:v>
                </c:pt>
                <c:pt idx="4">
                  <c:v>Личные трудности в коммуникации </c:v>
                </c:pt>
                <c:pt idx="5">
                  <c:v>Недостаток информации о обращении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Лист3!$N$101:$N$107</c:f>
              <c:numCache>
                <c:formatCode>0</c:formatCode>
                <c:ptCount val="7"/>
                <c:pt idx="0">
                  <c:v>27.900000000000002</c:v>
                </c:pt>
                <c:pt idx="1">
                  <c:v>9.8000000000000007</c:v>
                </c:pt>
                <c:pt idx="2">
                  <c:v>9.8000000000000007</c:v>
                </c:pt>
                <c:pt idx="3">
                  <c:v>6.6000000000000005</c:v>
                </c:pt>
                <c:pt idx="4">
                  <c:v>4.9000000000000004</c:v>
                </c:pt>
                <c:pt idx="5">
                  <c:v>29.5</c:v>
                </c:pt>
                <c:pt idx="6">
                  <c:v>8.2000000000000011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7F-4E4B-98CE-61233821B062}"/>
            </c:ext>
          </c:extLst>
        </c:ser>
        <c:ser>
          <c:idx val="1"/>
          <c:order val="1"/>
          <c:tx>
            <c:v>Академически неустойчивые студенты</c:v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Лист3!$N$115:$N$121</c:f>
              <c:numCache>
                <c:formatCode>0</c:formatCode>
                <c:ptCount val="7"/>
                <c:pt idx="0">
                  <c:v>41.199999999999996</c:v>
                </c:pt>
                <c:pt idx="1">
                  <c:v>6.6000000000000005</c:v>
                </c:pt>
                <c:pt idx="2">
                  <c:v>8.1</c:v>
                </c:pt>
                <c:pt idx="3">
                  <c:v>6.6000000000000005</c:v>
                </c:pt>
                <c:pt idx="4">
                  <c:v>7.3999999999999995</c:v>
                </c:pt>
                <c:pt idx="5">
                  <c:v>16.2</c:v>
                </c:pt>
                <c:pt idx="6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7F-4E4B-98CE-61233821B0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4600288"/>
        <c:axId val="424600680"/>
      </c:barChart>
      <c:catAx>
        <c:axId val="424600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4600680"/>
        <c:crosses val="autoZero"/>
        <c:auto val="1"/>
        <c:lblAlgn val="ctr"/>
        <c:lblOffset val="100"/>
        <c:noMultiLvlLbl val="0"/>
      </c:catAx>
      <c:valAx>
        <c:axId val="424600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460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1272</Words>
  <Characters>8586</Characters>
  <Application>Microsoft Office Word</Application>
  <DocSecurity>0</DocSecurity>
  <Lines>195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2022-04-10T11:03:00Z</dcterms:created>
  <dcterms:modified xsi:type="dcterms:W3CDTF">2022-04-10T11:03:00Z</dcterms:modified>
</cp:coreProperties>
</file>